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54" w:type="dxa"/>
        <w:tblLook w:val="04A0" w:firstRow="1" w:lastRow="0" w:firstColumn="1" w:lastColumn="0" w:noHBand="0" w:noVBand="1"/>
      </w:tblPr>
      <w:tblGrid>
        <w:gridCol w:w="861"/>
        <w:gridCol w:w="822"/>
        <w:gridCol w:w="706"/>
        <w:gridCol w:w="3217"/>
        <w:gridCol w:w="1559"/>
        <w:gridCol w:w="4389"/>
      </w:tblGrid>
      <w:tr w:rsidR="007D69E9" w:rsidRPr="007D69E9" w:rsidTr="007D69E9">
        <w:trPr>
          <w:trHeight w:val="300"/>
        </w:trPr>
        <w:tc>
          <w:tcPr>
            <w:tcW w:w="11554" w:type="dxa"/>
            <w:gridSpan w:val="6"/>
            <w:tcBorders>
              <w:top w:val="nil"/>
              <w:left w:val="nil"/>
              <w:bottom w:val="nil"/>
              <w:right w:val="nil"/>
            </w:tcBorders>
            <w:shd w:val="clear" w:color="000000" w:fill="FFFFFF"/>
            <w:noWrap/>
            <w:vAlign w:val="bottom"/>
            <w:hideMark/>
          </w:tcPr>
          <w:p w:rsidR="007D69E9" w:rsidRPr="00FA5A42" w:rsidRDefault="007D69E9" w:rsidP="007D69E9">
            <w:pPr>
              <w:spacing w:before="0" w:beforeAutospacing="0" w:after="0" w:afterAutospacing="0"/>
              <w:jc w:val="center"/>
              <w:rPr>
                <w:rFonts w:ascii="Calibri" w:eastAsia="Times New Roman" w:hAnsi="Calibri" w:cs="Calibri"/>
                <w:b/>
                <w:bCs/>
                <w:color w:val="000000"/>
                <w:sz w:val="24"/>
                <w:szCs w:val="24"/>
              </w:rPr>
            </w:pPr>
            <w:bookmarkStart w:id="0" w:name="RANGE!A1:F50"/>
            <w:r w:rsidRPr="00FA5A42">
              <w:rPr>
                <w:rFonts w:ascii="Calibri" w:eastAsia="Times New Roman" w:hAnsi="Calibri" w:cs="Calibri"/>
                <w:b/>
                <w:bCs/>
                <w:color w:val="000000"/>
                <w:sz w:val="24"/>
                <w:szCs w:val="24"/>
              </w:rPr>
              <w:t>COURSE 3810: INTRODUCTION TO REAL ESTATE</w:t>
            </w:r>
            <w:bookmarkEnd w:id="0"/>
          </w:p>
        </w:tc>
      </w:tr>
      <w:tr w:rsidR="007D69E9" w:rsidRPr="007D69E9" w:rsidTr="007D69E9">
        <w:trPr>
          <w:trHeight w:val="300"/>
        </w:trPr>
        <w:tc>
          <w:tcPr>
            <w:tcW w:w="11554" w:type="dxa"/>
            <w:gridSpan w:val="6"/>
            <w:tcBorders>
              <w:top w:val="nil"/>
              <w:left w:val="nil"/>
              <w:bottom w:val="nil"/>
              <w:right w:val="nil"/>
            </w:tcBorders>
            <w:shd w:val="clear" w:color="000000" w:fill="FFFFFF"/>
            <w:noWrap/>
            <w:vAlign w:val="bottom"/>
            <w:hideMark/>
          </w:tcPr>
          <w:p w:rsidR="007D69E9" w:rsidRPr="00FA5A42" w:rsidRDefault="007D69E9" w:rsidP="007D69E9">
            <w:pPr>
              <w:spacing w:before="0" w:beforeAutospacing="0" w:after="0" w:afterAutospacing="0"/>
              <w:jc w:val="center"/>
              <w:rPr>
                <w:rFonts w:ascii="Calibri" w:eastAsia="Times New Roman" w:hAnsi="Calibri" w:cs="Calibri"/>
                <w:b/>
                <w:bCs/>
                <w:color w:val="000000"/>
                <w:sz w:val="24"/>
                <w:szCs w:val="24"/>
              </w:rPr>
            </w:pPr>
            <w:r w:rsidRPr="00FA5A42">
              <w:rPr>
                <w:rFonts w:ascii="Calibri" w:eastAsia="Times New Roman" w:hAnsi="Calibri" w:cs="Calibri"/>
                <w:b/>
                <w:bCs/>
                <w:color w:val="000000"/>
                <w:sz w:val="24"/>
                <w:szCs w:val="24"/>
              </w:rPr>
              <w:t>Thursday</w:t>
            </w:r>
          </w:p>
        </w:tc>
      </w:tr>
      <w:tr w:rsidR="007D69E9" w:rsidRPr="007D69E9" w:rsidTr="007D69E9">
        <w:trPr>
          <w:trHeight w:val="300"/>
        </w:trPr>
        <w:tc>
          <w:tcPr>
            <w:tcW w:w="11554" w:type="dxa"/>
            <w:gridSpan w:val="6"/>
            <w:tcBorders>
              <w:top w:val="nil"/>
              <w:left w:val="nil"/>
              <w:bottom w:val="nil"/>
              <w:right w:val="nil"/>
            </w:tcBorders>
            <w:shd w:val="clear" w:color="000000" w:fill="FFFFFF"/>
            <w:noWrap/>
            <w:vAlign w:val="bottom"/>
            <w:hideMark/>
          </w:tcPr>
          <w:p w:rsidR="007D69E9" w:rsidRPr="00FA5A42" w:rsidRDefault="007D69E9" w:rsidP="007D69E9">
            <w:pPr>
              <w:spacing w:before="0" w:beforeAutospacing="0" w:after="0" w:afterAutospacing="0"/>
              <w:jc w:val="center"/>
              <w:rPr>
                <w:rFonts w:ascii="Calibri" w:eastAsia="Times New Roman" w:hAnsi="Calibri" w:cs="Calibri"/>
                <w:b/>
                <w:bCs/>
                <w:color w:val="000000"/>
                <w:sz w:val="24"/>
                <w:szCs w:val="24"/>
              </w:rPr>
            </w:pPr>
            <w:r w:rsidRPr="00FA5A42">
              <w:rPr>
                <w:rFonts w:ascii="Calibri" w:eastAsia="Times New Roman" w:hAnsi="Calibri" w:cs="Calibri"/>
                <w:b/>
                <w:bCs/>
                <w:color w:val="000000"/>
                <w:sz w:val="24"/>
                <w:szCs w:val="24"/>
              </w:rPr>
              <w:t>7:00 -10:00 PM</w:t>
            </w:r>
          </w:p>
        </w:tc>
      </w:tr>
      <w:tr w:rsidR="007D69E9" w:rsidRPr="007D69E9" w:rsidTr="007D69E9">
        <w:trPr>
          <w:trHeight w:val="300"/>
        </w:trPr>
        <w:tc>
          <w:tcPr>
            <w:tcW w:w="11554" w:type="dxa"/>
            <w:gridSpan w:val="6"/>
            <w:tcBorders>
              <w:top w:val="nil"/>
              <w:left w:val="nil"/>
              <w:bottom w:val="single" w:sz="4" w:space="0" w:color="auto"/>
              <w:right w:val="nil"/>
            </w:tcBorders>
            <w:shd w:val="clear" w:color="000000" w:fill="FFFFFF"/>
            <w:noWrap/>
            <w:vAlign w:val="bottom"/>
            <w:hideMark/>
          </w:tcPr>
          <w:p w:rsidR="007D69E9" w:rsidRDefault="007D69E9" w:rsidP="007D69E9">
            <w:pPr>
              <w:spacing w:before="0" w:beforeAutospacing="0" w:after="0" w:afterAutospacing="0"/>
              <w:jc w:val="center"/>
              <w:rPr>
                <w:rFonts w:ascii="Calibri" w:eastAsia="Times New Roman" w:hAnsi="Calibri" w:cs="Calibri"/>
                <w:b/>
                <w:bCs/>
                <w:color w:val="000000"/>
                <w:sz w:val="24"/>
                <w:szCs w:val="24"/>
              </w:rPr>
            </w:pPr>
            <w:r w:rsidRPr="00FA5A42">
              <w:rPr>
                <w:rFonts w:ascii="Calibri" w:eastAsia="Times New Roman" w:hAnsi="Calibri" w:cs="Calibri"/>
                <w:b/>
                <w:bCs/>
                <w:color w:val="000000"/>
                <w:sz w:val="24"/>
                <w:szCs w:val="24"/>
              </w:rPr>
              <w:t>Fall 2019</w:t>
            </w:r>
          </w:p>
          <w:p w:rsidR="009E164F" w:rsidRPr="00FA5A42" w:rsidRDefault="009E164F" w:rsidP="007D69E9">
            <w:pPr>
              <w:spacing w:before="0" w:beforeAutospacing="0" w:after="0" w:afterAutospacing="0"/>
              <w:jc w:val="center"/>
              <w:rPr>
                <w:rFonts w:ascii="Calibri" w:eastAsia="Times New Roman" w:hAnsi="Calibri" w:cs="Calibri"/>
                <w:b/>
                <w:bCs/>
                <w:color w:val="000000"/>
                <w:sz w:val="24"/>
                <w:szCs w:val="24"/>
              </w:rPr>
            </w:pPr>
            <w:bookmarkStart w:id="1" w:name="_GoBack"/>
            <w:bookmarkEnd w:id="1"/>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rPr>
            </w:pPr>
            <w:r w:rsidRPr="007D69E9">
              <w:rPr>
                <w:rFonts w:ascii="Helv" w:eastAsia="Times New Roman" w:hAnsi="Helv" w:cs="Calibri"/>
                <w:b/>
                <w:bCs/>
                <w:color w:val="FFFFFF"/>
              </w:rPr>
              <w:t> </w:t>
            </w:r>
          </w:p>
        </w:tc>
        <w:tc>
          <w:tcPr>
            <w:tcW w:w="822"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rPr>
            </w:pPr>
            <w:r w:rsidRPr="007D69E9">
              <w:rPr>
                <w:rFonts w:ascii="Helv" w:eastAsia="Times New Roman" w:hAnsi="Helv" w:cs="Calibri"/>
                <w:b/>
                <w:bCs/>
                <w:color w:val="FFFFFF"/>
              </w:rPr>
              <w:t> </w:t>
            </w:r>
          </w:p>
        </w:tc>
        <w:tc>
          <w:tcPr>
            <w:tcW w:w="706"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rPr>
            </w:pPr>
            <w:r w:rsidRPr="007D69E9">
              <w:rPr>
                <w:rFonts w:ascii="Helv" w:eastAsia="Times New Roman" w:hAnsi="Helv" w:cs="Calibri"/>
                <w:b/>
                <w:bCs/>
                <w:color w:val="FFFFFF"/>
              </w:rPr>
              <w:t> </w:t>
            </w:r>
          </w:p>
        </w:tc>
        <w:tc>
          <w:tcPr>
            <w:tcW w:w="3217"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rPr>
            </w:pPr>
            <w:r w:rsidRPr="007D69E9">
              <w:rPr>
                <w:rFonts w:ascii="Helv" w:eastAsia="Times New Roman" w:hAnsi="Helv" w:cs="Calibri"/>
                <w:b/>
                <w:bCs/>
                <w:color w:val="FFFFFF"/>
              </w:rPr>
              <w:t>TEXT # 1</w:t>
            </w:r>
          </w:p>
        </w:tc>
        <w:tc>
          <w:tcPr>
            <w:tcW w:w="1559"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rPr>
            </w:pPr>
            <w:r w:rsidRPr="007D69E9">
              <w:rPr>
                <w:rFonts w:ascii="Helv" w:eastAsia="Times New Roman" w:hAnsi="Helv" w:cs="Calibri"/>
                <w:b/>
                <w:bCs/>
                <w:color w:val="FFFFFF"/>
              </w:rPr>
              <w:t xml:space="preserve"> TEXT # 2</w:t>
            </w:r>
          </w:p>
        </w:tc>
        <w:tc>
          <w:tcPr>
            <w:tcW w:w="4389"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rPr>
            </w:pPr>
            <w:r w:rsidRPr="007D69E9">
              <w:rPr>
                <w:rFonts w:ascii="Helv" w:eastAsia="Times New Roman" w:hAnsi="Helv" w:cs="Calibri"/>
                <w:b/>
                <w:bCs/>
                <w:color w:val="FFFFFF"/>
              </w:rPr>
              <w:t>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CLASS</w:t>
            </w:r>
          </w:p>
        </w:tc>
        <w:tc>
          <w:tcPr>
            <w:tcW w:w="822"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DATE</w:t>
            </w:r>
          </w:p>
        </w:tc>
        <w:tc>
          <w:tcPr>
            <w:tcW w:w="706"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PART</w:t>
            </w:r>
          </w:p>
        </w:tc>
        <w:tc>
          <w:tcPr>
            <w:tcW w:w="3217"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SECTION, START PAGE</w:t>
            </w:r>
          </w:p>
        </w:tc>
        <w:tc>
          <w:tcPr>
            <w:tcW w:w="1559"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 xml:space="preserve"> CHAPTER(S)</w:t>
            </w:r>
          </w:p>
        </w:tc>
        <w:tc>
          <w:tcPr>
            <w:tcW w:w="4389" w:type="dxa"/>
            <w:tcBorders>
              <w:top w:val="single" w:sz="4" w:space="0" w:color="auto"/>
              <w:left w:val="nil"/>
              <w:bottom w:val="single" w:sz="4" w:space="0" w:color="auto"/>
              <w:right w:val="single" w:sz="4" w:space="0" w:color="auto"/>
            </w:tcBorders>
            <w:shd w:val="clear" w:color="000000" w:fill="8000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TOPIC</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822"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706"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321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Course Schedule and Cases</w:t>
            </w:r>
          </w:p>
        </w:tc>
        <w:tc>
          <w:tcPr>
            <w:tcW w:w="1559"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Introduction</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1 </w:t>
            </w:r>
          </w:p>
        </w:tc>
        <w:tc>
          <w:tcPr>
            <w:tcW w:w="822"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5-Sep</w:t>
            </w:r>
          </w:p>
        </w:tc>
        <w:tc>
          <w:tcPr>
            <w:tcW w:w="706"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w:t>
            </w:r>
          </w:p>
        </w:tc>
        <w:tc>
          <w:tcPr>
            <w:tcW w:w="321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sz w:val="18"/>
                <w:szCs w:val="18"/>
              </w:rPr>
            </w:pPr>
            <w:r w:rsidRPr="007D69E9">
              <w:rPr>
                <w:rFonts w:ascii="Helv" w:eastAsia="Times New Roman" w:hAnsi="Helv" w:cs="Calibri"/>
                <w:sz w:val="18"/>
                <w:szCs w:val="18"/>
              </w:rPr>
              <w:t> </w:t>
            </w:r>
          </w:p>
        </w:tc>
        <w:tc>
          <w:tcPr>
            <w:tcW w:w="1559"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w:t>
            </w:r>
          </w:p>
        </w:tc>
        <w:tc>
          <w:tcPr>
            <w:tcW w:w="4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1-2, 1-16</w:t>
            </w:r>
          </w:p>
        </w:tc>
        <w:tc>
          <w:tcPr>
            <w:tcW w:w="1559"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The Analytical Framework</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2 </w:t>
            </w:r>
          </w:p>
        </w:tc>
        <w:tc>
          <w:tcPr>
            <w:tcW w:w="822"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12-Sep</w:t>
            </w:r>
          </w:p>
        </w:tc>
        <w:tc>
          <w:tcPr>
            <w:tcW w:w="706"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w:t>
            </w:r>
          </w:p>
        </w:tc>
        <w:tc>
          <w:tcPr>
            <w:tcW w:w="3217" w:type="dxa"/>
            <w:tcBorders>
              <w:top w:val="single" w:sz="4" w:space="0" w:color="auto"/>
              <w:left w:val="nil"/>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2-40, 2-62</w:t>
            </w:r>
          </w:p>
        </w:tc>
        <w:tc>
          <w:tcPr>
            <w:tcW w:w="1559" w:type="dxa"/>
            <w:tcBorders>
              <w:top w:val="single" w:sz="4" w:space="0" w:color="auto"/>
              <w:left w:val="nil"/>
              <w:bottom w:val="single" w:sz="4" w:space="0" w:color="auto"/>
              <w:right w:val="nil"/>
            </w:tcBorders>
            <w:shd w:val="clear" w:color="000000" w:fill="FFFF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w:t>
            </w:r>
          </w:p>
        </w:tc>
        <w:tc>
          <w:tcPr>
            <w:tcW w:w="438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Home Buying Basics</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5-216, 5-235</w:t>
            </w:r>
          </w:p>
        </w:tc>
        <w:tc>
          <w:tcPr>
            <w:tcW w:w="1559" w:type="dxa"/>
            <w:tcBorders>
              <w:top w:val="single" w:sz="4" w:space="0" w:color="auto"/>
              <w:left w:val="nil"/>
              <w:bottom w:val="single" w:sz="4" w:space="0" w:color="auto"/>
              <w:right w:val="nil"/>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The Legal Environment</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3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19-Sep</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II</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5-253</w:t>
            </w:r>
          </w:p>
        </w:tc>
        <w:tc>
          <w:tcPr>
            <w:tcW w:w="1559" w:type="dxa"/>
            <w:tcBorders>
              <w:top w:val="single" w:sz="4" w:space="0" w:color="auto"/>
              <w:left w:val="nil"/>
              <w:bottom w:val="single" w:sz="4" w:space="0" w:color="auto"/>
              <w:right w:val="nil"/>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II</w:t>
            </w:r>
          </w:p>
        </w:tc>
        <w:tc>
          <w:tcPr>
            <w:tcW w:w="438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Group Discussion 1</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8-All, 9-All</w:t>
            </w:r>
          </w:p>
        </w:tc>
        <w:tc>
          <w:tcPr>
            <w:tcW w:w="1559" w:type="dxa"/>
            <w:tcBorders>
              <w:top w:val="single" w:sz="4" w:space="0" w:color="auto"/>
              <w:left w:val="nil"/>
              <w:bottom w:val="single" w:sz="4" w:space="0" w:color="auto"/>
              <w:right w:val="nil"/>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Marketing, Brokerage, Management</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4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26-Sep</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III</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III</w:t>
            </w:r>
          </w:p>
        </w:tc>
        <w:tc>
          <w:tcPr>
            <w:tcW w:w="4389"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Group Discussion 2</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7-All</w:t>
            </w:r>
          </w:p>
        </w:tc>
        <w:tc>
          <w:tcPr>
            <w:tcW w:w="155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TERM PAPER OUTLINE</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5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3-Oct</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IV</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IV</w:t>
            </w:r>
          </w:p>
        </w:tc>
        <w:tc>
          <w:tcPr>
            <w:tcW w:w="438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Valuation and Appraisal Process*</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color w:val="FFFFFF"/>
                <w:sz w:val="18"/>
                <w:szCs w:val="18"/>
              </w:rPr>
            </w:pPr>
            <w:r w:rsidRPr="007D69E9">
              <w:rPr>
                <w:rFonts w:ascii="Helv" w:eastAsia="Times New Roman" w:hAnsi="Helv" w:cs="Calibri"/>
                <w:b/>
                <w:bCs/>
                <w:color w:val="FFFFFF"/>
                <w:sz w:val="18"/>
                <w:szCs w:val="18"/>
              </w:rPr>
              <w:t>TERM PAPER OUTLINE</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6 </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10-Oct</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xml:space="preserve">MID - </w:t>
            </w:r>
            <w:proofErr w:type="gramStart"/>
            <w:r w:rsidRPr="007D69E9">
              <w:rPr>
                <w:rFonts w:ascii="Helv" w:eastAsia="Times New Roman" w:hAnsi="Helv" w:cs="Calibri"/>
                <w:b/>
                <w:bCs/>
                <w:sz w:val="18"/>
                <w:szCs w:val="18"/>
              </w:rPr>
              <w:t>TERM  EXAM</w:t>
            </w:r>
            <w:proofErr w:type="gramEnd"/>
            <w:r w:rsidRPr="007D69E9">
              <w:rPr>
                <w:rFonts w:ascii="Helv" w:eastAsia="Times New Roman" w:hAnsi="Helv" w:cs="Calibri"/>
                <w:b/>
                <w:bCs/>
                <w:sz w:val="18"/>
                <w:szCs w:val="18"/>
              </w:rPr>
              <w:t xml:space="preserve">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Reading Week</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7 </w:t>
            </w:r>
          </w:p>
        </w:tc>
        <w:tc>
          <w:tcPr>
            <w:tcW w:w="822"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17-Oct</w:t>
            </w:r>
          </w:p>
        </w:tc>
        <w:tc>
          <w:tcPr>
            <w:tcW w:w="706"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FF00"/>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NO LECTURE</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6-All</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Finance*</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8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24-Oct</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4-All, 5-276</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Taxation*</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9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31-Oct</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Arial" w:eastAsia="Times New Roman" w:hAnsi="Arial" w:cs="Arial"/>
                <w:sz w:val="18"/>
                <w:szCs w:val="18"/>
              </w:rPr>
            </w:pPr>
            <w:r w:rsidRPr="007D69E9">
              <w:rPr>
                <w:rFonts w:ascii="Arial" w:eastAsia="Times New Roman" w:hAnsi="Arial" w:cs="Arial"/>
                <w:sz w:val="18"/>
                <w:szCs w:val="18"/>
              </w:rPr>
              <w:t>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Investment*</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10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7-Nov</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VII</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 </w:t>
            </w:r>
          </w:p>
        </w:tc>
        <w:tc>
          <w:tcPr>
            <w:tcW w:w="1559" w:type="dxa"/>
            <w:tcBorders>
              <w:top w:val="single" w:sz="4" w:space="0" w:color="auto"/>
              <w:left w:val="nil"/>
              <w:bottom w:val="single" w:sz="4" w:space="0" w:color="auto"/>
              <w:right w:val="nil"/>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VII</w:t>
            </w:r>
          </w:p>
        </w:tc>
        <w:tc>
          <w:tcPr>
            <w:tcW w:w="4389"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Arial" w:eastAsia="Times New Roman" w:hAnsi="Arial" w:cs="Arial"/>
                <w:sz w:val="18"/>
                <w:szCs w:val="18"/>
              </w:rPr>
            </w:pPr>
            <w:r w:rsidRPr="007D69E9">
              <w:rPr>
                <w:rFonts w:ascii="Arial" w:eastAsia="Times New Roman" w:hAnsi="Arial" w:cs="Arial"/>
                <w:sz w:val="18"/>
                <w:szCs w:val="18"/>
              </w:rPr>
              <w:t>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3-All</w:t>
            </w:r>
          </w:p>
        </w:tc>
        <w:tc>
          <w:tcPr>
            <w:tcW w:w="1559"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4389"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Public Policy &amp; Review</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11 </w:t>
            </w:r>
          </w:p>
        </w:tc>
        <w:tc>
          <w:tcPr>
            <w:tcW w:w="822"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14-Nov</w:t>
            </w:r>
          </w:p>
        </w:tc>
        <w:tc>
          <w:tcPr>
            <w:tcW w:w="706"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IX</w:t>
            </w:r>
          </w:p>
        </w:tc>
        <w:tc>
          <w:tcPr>
            <w:tcW w:w="3217"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1559"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IX</w:t>
            </w:r>
          </w:p>
        </w:tc>
        <w:tc>
          <w:tcPr>
            <w:tcW w:w="4389" w:type="dxa"/>
            <w:tcBorders>
              <w:top w:val="single" w:sz="4" w:space="0" w:color="auto"/>
              <w:left w:val="nil"/>
              <w:bottom w:val="single" w:sz="4" w:space="0" w:color="auto"/>
              <w:right w:val="single" w:sz="4" w:space="0" w:color="auto"/>
            </w:tcBorders>
            <w:shd w:val="clear" w:color="000000" w:fill="CCFFCC"/>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Group Discussion 3</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Case Study in</w:t>
            </w:r>
          </w:p>
        </w:tc>
        <w:tc>
          <w:tcPr>
            <w:tcW w:w="155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438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w:t>
            </w:r>
            <w:proofErr w:type="gramStart"/>
            <w:r w:rsidRPr="007D69E9">
              <w:rPr>
                <w:rFonts w:ascii="Helv" w:eastAsia="Times New Roman" w:hAnsi="Helv" w:cs="Calibri"/>
                <w:b/>
                <w:bCs/>
                <w:sz w:val="18"/>
                <w:szCs w:val="18"/>
              </w:rPr>
              <w:t>TERM  PAPER</w:t>
            </w:r>
            <w:proofErr w:type="gramEnd"/>
            <w:r w:rsidRPr="007D69E9">
              <w:rPr>
                <w:rFonts w:ascii="Helv" w:eastAsia="Times New Roman" w:hAnsi="Helv" w:cs="Calibri"/>
                <w:b/>
                <w:bCs/>
                <w:sz w:val="18"/>
                <w:szCs w:val="18"/>
              </w:rPr>
              <w:t xml:space="preserve">  DUE)</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12 </w:t>
            </w:r>
          </w:p>
        </w:tc>
        <w:tc>
          <w:tcPr>
            <w:tcW w:w="822"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21-Nov</w:t>
            </w:r>
          </w:p>
        </w:tc>
        <w:tc>
          <w:tcPr>
            <w:tcW w:w="706"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VIII</w:t>
            </w:r>
          </w:p>
        </w:tc>
        <w:tc>
          <w:tcPr>
            <w:tcW w:w="3217"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Appendix</w:t>
            </w:r>
          </w:p>
        </w:tc>
        <w:tc>
          <w:tcPr>
            <w:tcW w:w="155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VIII</w:t>
            </w:r>
          </w:p>
        </w:tc>
        <w:tc>
          <w:tcPr>
            <w:tcW w:w="4389" w:type="dxa"/>
            <w:tcBorders>
              <w:top w:val="single" w:sz="4" w:space="0" w:color="auto"/>
              <w:left w:val="nil"/>
              <w:bottom w:val="single" w:sz="4" w:space="0" w:color="auto"/>
              <w:right w:val="single" w:sz="4" w:space="0" w:color="auto"/>
            </w:tcBorders>
            <w:shd w:val="clear" w:color="000000" w:fill="FFCC99"/>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Real Estate Development* &amp; Review</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sz w:val="18"/>
                <w:szCs w:val="18"/>
              </w:rPr>
            </w:pPr>
            <w:r w:rsidRPr="007D69E9">
              <w:rPr>
                <w:rFonts w:ascii="Helv" w:eastAsia="Times New Roman" w:hAnsi="Helv" w:cs="Calibri"/>
                <w:b/>
                <w:bCs/>
                <w:sz w:val="18"/>
                <w:szCs w:val="18"/>
              </w:rPr>
              <w:t> </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3217"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w:t>
            </w:r>
          </w:p>
        </w:tc>
        <w:tc>
          <w:tcPr>
            <w:tcW w:w="4389"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sz w:val="18"/>
                <w:szCs w:val="18"/>
              </w:rPr>
            </w:pPr>
            <w:r w:rsidRPr="007D69E9">
              <w:rPr>
                <w:rFonts w:ascii="Helv" w:eastAsia="Times New Roman" w:hAnsi="Helv" w:cs="Calibri"/>
                <w:sz w:val="18"/>
                <w:szCs w:val="18"/>
              </w:rPr>
              <w:t xml:space="preserve"> </w:t>
            </w:r>
          </w:p>
        </w:tc>
      </w:tr>
      <w:tr w:rsidR="007D69E9" w:rsidRPr="007D69E9" w:rsidTr="007D69E9">
        <w:trPr>
          <w:trHeight w:val="300"/>
        </w:trPr>
        <w:tc>
          <w:tcPr>
            <w:tcW w:w="8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sz w:val="18"/>
                <w:szCs w:val="18"/>
              </w:rPr>
            </w:pPr>
            <w:r w:rsidRPr="007D69E9">
              <w:rPr>
                <w:rFonts w:ascii="Helv" w:eastAsia="Times New Roman" w:hAnsi="Helv" w:cs="Calibri"/>
                <w:b/>
                <w:bCs/>
                <w:sz w:val="18"/>
                <w:szCs w:val="18"/>
              </w:rPr>
              <w:t xml:space="preserve">13 </w:t>
            </w:r>
          </w:p>
        </w:tc>
        <w:tc>
          <w:tcPr>
            <w:tcW w:w="822"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 </w:t>
            </w:r>
          </w:p>
        </w:tc>
        <w:tc>
          <w:tcPr>
            <w:tcW w:w="706"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 </w:t>
            </w:r>
          </w:p>
        </w:tc>
        <w:tc>
          <w:tcPr>
            <w:tcW w:w="3217"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To be Announced</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jc w:val="center"/>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 </w:t>
            </w:r>
          </w:p>
        </w:tc>
        <w:tc>
          <w:tcPr>
            <w:tcW w:w="4389" w:type="dxa"/>
            <w:tcBorders>
              <w:top w:val="single" w:sz="4" w:space="0" w:color="auto"/>
              <w:left w:val="nil"/>
              <w:bottom w:val="single" w:sz="4" w:space="0" w:color="auto"/>
              <w:right w:val="single" w:sz="4" w:space="0" w:color="auto"/>
            </w:tcBorders>
            <w:shd w:val="clear" w:color="000000" w:fill="FFFFFF"/>
            <w:noWrap/>
            <w:vAlign w:val="bottom"/>
            <w:hideMark/>
          </w:tcPr>
          <w:p w:rsidR="007D69E9" w:rsidRPr="007D69E9" w:rsidRDefault="007D69E9" w:rsidP="007D69E9">
            <w:pPr>
              <w:spacing w:before="0" w:beforeAutospacing="0" w:after="0" w:afterAutospacing="0"/>
              <w:rPr>
                <w:rFonts w:ascii="Helv" w:eastAsia="Times New Roman" w:hAnsi="Helv" w:cs="Calibri"/>
                <w:b/>
                <w:bCs/>
                <w:color w:val="000000"/>
                <w:sz w:val="18"/>
                <w:szCs w:val="18"/>
              </w:rPr>
            </w:pPr>
            <w:r w:rsidRPr="007D69E9">
              <w:rPr>
                <w:rFonts w:ascii="Helv" w:eastAsia="Times New Roman" w:hAnsi="Helv" w:cs="Calibri"/>
                <w:b/>
                <w:bCs/>
                <w:color w:val="000000"/>
                <w:sz w:val="18"/>
                <w:szCs w:val="18"/>
              </w:rPr>
              <w:t>FINAL EXAMINATION *</w:t>
            </w:r>
          </w:p>
        </w:tc>
      </w:tr>
      <w:tr w:rsidR="007D69E9" w:rsidRPr="007D69E9" w:rsidTr="007D69E9">
        <w:trPr>
          <w:trHeight w:val="300"/>
        </w:trPr>
        <w:tc>
          <w:tcPr>
            <w:tcW w:w="861"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Helv" w:eastAsia="Times New Roman" w:hAnsi="Helv" w:cs="Calibri"/>
                <w:b/>
                <w:bCs/>
                <w:color w:val="000000"/>
                <w:sz w:val="18"/>
                <w:szCs w:val="18"/>
              </w:rPr>
            </w:pPr>
          </w:p>
        </w:tc>
        <w:tc>
          <w:tcPr>
            <w:tcW w:w="822"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Times New Roman" w:eastAsia="Times New Roman" w:hAnsi="Times New Roman" w:cs="Times New Roman"/>
                <w:sz w:val="18"/>
                <w:szCs w:val="18"/>
              </w:rPr>
            </w:pPr>
          </w:p>
        </w:tc>
        <w:tc>
          <w:tcPr>
            <w:tcW w:w="706"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Times New Roman" w:eastAsia="Times New Roman" w:hAnsi="Times New Roman" w:cs="Times New Roman"/>
                <w:sz w:val="18"/>
                <w:szCs w:val="18"/>
              </w:rPr>
            </w:pPr>
          </w:p>
        </w:tc>
        <w:tc>
          <w:tcPr>
            <w:tcW w:w="3217"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Times New Roman" w:eastAsia="Times New Roman" w:hAnsi="Times New Roman" w:cs="Times New Roman"/>
                <w:sz w:val="18"/>
                <w:szCs w:val="18"/>
              </w:rPr>
            </w:pPr>
          </w:p>
        </w:tc>
        <w:tc>
          <w:tcPr>
            <w:tcW w:w="4389" w:type="dxa"/>
            <w:tcBorders>
              <w:top w:val="nil"/>
              <w:left w:val="nil"/>
              <w:bottom w:val="nil"/>
              <w:right w:val="nil"/>
            </w:tcBorders>
            <w:shd w:val="clear" w:color="auto" w:fill="auto"/>
            <w:noWrap/>
            <w:vAlign w:val="bottom"/>
            <w:hideMark/>
          </w:tcPr>
          <w:p w:rsidR="007D69E9" w:rsidRPr="007D69E9" w:rsidRDefault="007D69E9" w:rsidP="007D69E9">
            <w:pPr>
              <w:spacing w:before="0" w:beforeAutospacing="0" w:after="0" w:afterAutospacing="0"/>
              <w:rPr>
                <w:rFonts w:ascii="Times New Roman" w:eastAsia="Times New Roman" w:hAnsi="Times New Roman" w:cs="Times New Roman"/>
                <w:sz w:val="18"/>
                <w:szCs w:val="18"/>
              </w:rPr>
            </w:pPr>
          </w:p>
        </w:tc>
      </w:tr>
      <w:tr w:rsidR="007D69E9" w:rsidRPr="007D69E9" w:rsidTr="007D69E9">
        <w:trPr>
          <w:trHeight w:val="300"/>
        </w:trPr>
        <w:tc>
          <w:tcPr>
            <w:tcW w:w="1683"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Text Books:</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776"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(1) Arbuckle, G., and Bartel, H., editors (2011)</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776"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 xml:space="preserve">     Readings in Canada Real Estate, 5th Edition</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xml:space="preserve">     University Press of Canada</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(2) Glen, John T. (Jan 2019)</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9165" w:type="dxa"/>
            <w:gridSpan w:val="3"/>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 xml:space="preserve">     Living Textbook - Introduction to Real Estate Course AK/ADMS 3810</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1683"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lastRenderedPageBreak/>
              <w:t>Calculator:</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9165" w:type="dxa"/>
            <w:gridSpan w:val="3"/>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A calculator is required for this course. Bring it to lectures marked*.</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 </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1683"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Office Hours:</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776" w:type="dxa"/>
            <w:gridSpan w:val="2"/>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30 Minutes Before and After Class</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Marks:</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Mid-Term</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jc w:val="center"/>
              <w:rPr>
                <w:rFonts w:ascii="Arial" w:eastAsia="Times New Roman" w:hAnsi="Arial" w:cs="Arial"/>
                <w:b/>
                <w:bCs/>
                <w:sz w:val="20"/>
                <w:szCs w:val="20"/>
              </w:rPr>
            </w:pPr>
            <w:r w:rsidRPr="007D69E9">
              <w:rPr>
                <w:rFonts w:ascii="Arial" w:eastAsia="Times New Roman" w:hAnsi="Arial" w:cs="Arial"/>
                <w:b/>
                <w:bCs/>
                <w:sz w:val="20"/>
                <w:szCs w:val="20"/>
              </w:rPr>
              <w:t>15%</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Group Discussions</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jc w:val="center"/>
              <w:rPr>
                <w:rFonts w:ascii="Arial" w:eastAsia="Times New Roman" w:hAnsi="Arial" w:cs="Arial"/>
                <w:b/>
                <w:bCs/>
                <w:sz w:val="20"/>
                <w:szCs w:val="20"/>
              </w:rPr>
            </w:pPr>
            <w:r w:rsidRPr="007D69E9">
              <w:rPr>
                <w:rFonts w:ascii="Arial" w:eastAsia="Times New Roman" w:hAnsi="Arial" w:cs="Arial"/>
                <w:b/>
                <w:bCs/>
                <w:sz w:val="20"/>
                <w:szCs w:val="20"/>
              </w:rPr>
              <w:t>15%</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Term Paper Outline</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jc w:val="center"/>
              <w:rPr>
                <w:rFonts w:ascii="Arial" w:eastAsia="Times New Roman" w:hAnsi="Arial" w:cs="Arial"/>
                <w:b/>
                <w:bCs/>
                <w:sz w:val="20"/>
                <w:szCs w:val="20"/>
              </w:rPr>
            </w:pPr>
            <w:r w:rsidRPr="007D69E9">
              <w:rPr>
                <w:rFonts w:ascii="Arial" w:eastAsia="Times New Roman" w:hAnsi="Arial" w:cs="Arial"/>
                <w:b/>
                <w:bCs/>
                <w:sz w:val="20"/>
                <w:szCs w:val="20"/>
              </w:rPr>
              <w:t>5%</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Term Paper</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jc w:val="center"/>
              <w:rPr>
                <w:rFonts w:ascii="Arial" w:eastAsia="Times New Roman" w:hAnsi="Arial" w:cs="Arial"/>
                <w:b/>
                <w:bCs/>
                <w:sz w:val="20"/>
                <w:szCs w:val="20"/>
              </w:rPr>
            </w:pPr>
            <w:r w:rsidRPr="007D69E9">
              <w:rPr>
                <w:rFonts w:ascii="Arial" w:eastAsia="Times New Roman" w:hAnsi="Arial" w:cs="Arial"/>
                <w:b/>
                <w:bCs/>
                <w:sz w:val="20"/>
                <w:szCs w:val="20"/>
              </w:rPr>
              <w:t>15%</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r w:rsidR="007D69E9" w:rsidRPr="007D69E9" w:rsidTr="007D69E9">
        <w:trPr>
          <w:trHeight w:val="300"/>
        </w:trPr>
        <w:tc>
          <w:tcPr>
            <w:tcW w:w="861"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822"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706"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c>
          <w:tcPr>
            <w:tcW w:w="3217"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Arial" w:eastAsia="Times New Roman" w:hAnsi="Arial" w:cs="Arial"/>
                <w:b/>
                <w:bCs/>
                <w:sz w:val="20"/>
                <w:szCs w:val="20"/>
              </w:rPr>
            </w:pPr>
            <w:r w:rsidRPr="007D69E9">
              <w:rPr>
                <w:rFonts w:ascii="Arial" w:eastAsia="Times New Roman" w:hAnsi="Arial" w:cs="Arial"/>
                <w:b/>
                <w:bCs/>
                <w:sz w:val="20"/>
                <w:szCs w:val="20"/>
              </w:rPr>
              <w:t>Final Exam</w:t>
            </w:r>
          </w:p>
        </w:tc>
        <w:tc>
          <w:tcPr>
            <w:tcW w:w="155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jc w:val="center"/>
              <w:rPr>
                <w:rFonts w:ascii="Arial" w:eastAsia="Times New Roman" w:hAnsi="Arial" w:cs="Arial"/>
                <w:b/>
                <w:bCs/>
                <w:sz w:val="20"/>
                <w:szCs w:val="20"/>
              </w:rPr>
            </w:pPr>
            <w:r w:rsidRPr="007D69E9">
              <w:rPr>
                <w:rFonts w:ascii="Arial" w:eastAsia="Times New Roman" w:hAnsi="Arial" w:cs="Arial"/>
                <w:b/>
                <w:bCs/>
                <w:sz w:val="20"/>
                <w:szCs w:val="20"/>
              </w:rPr>
              <w:t>50%</w:t>
            </w:r>
          </w:p>
        </w:tc>
        <w:tc>
          <w:tcPr>
            <w:tcW w:w="4389" w:type="dxa"/>
            <w:tcBorders>
              <w:top w:val="nil"/>
              <w:left w:val="nil"/>
              <w:bottom w:val="nil"/>
              <w:right w:val="nil"/>
            </w:tcBorders>
            <w:shd w:val="clear" w:color="000000" w:fill="FFFFFF"/>
            <w:noWrap/>
            <w:vAlign w:val="bottom"/>
            <w:hideMark/>
          </w:tcPr>
          <w:p w:rsidR="007D69E9" w:rsidRPr="007D69E9" w:rsidRDefault="007D69E9" w:rsidP="007D69E9">
            <w:pPr>
              <w:spacing w:before="0" w:beforeAutospacing="0" w:after="0" w:afterAutospacing="0"/>
              <w:rPr>
                <w:rFonts w:ascii="Calibri" w:eastAsia="Times New Roman" w:hAnsi="Calibri" w:cs="Calibri"/>
                <w:color w:val="000000"/>
              </w:rPr>
            </w:pPr>
            <w:r w:rsidRPr="007D69E9">
              <w:rPr>
                <w:rFonts w:ascii="Calibri" w:eastAsia="Times New Roman" w:hAnsi="Calibri" w:cs="Calibri"/>
                <w:color w:val="000000"/>
              </w:rPr>
              <w:t> </w:t>
            </w:r>
          </w:p>
        </w:tc>
      </w:tr>
    </w:tbl>
    <w:p w:rsidR="007D69E9" w:rsidRDefault="007D69E9" w:rsidP="007D69E9">
      <w:pPr>
        <w:rPr>
          <w:rFonts w:ascii="Helv" w:hAnsi="Helv" w:cs="Helv"/>
          <w:b/>
          <w:bCs/>
          <w:color w:val="000000"/>
          <w:sz w:val="24"/>
          <w:szCs w:val="24"/>
          <w:u w:val="single"/>
        </w:rPr>
      </w:pPr>
    </w:p>
    <w:p w:rsidR="007D69E9" w:rsidRPr="007D69E9" w:rsidRDefault="007D69E9" w:rsidP="007D69E9">
      <w:pPr>
        <w:rPr>
          <w:rFonts w:ascii="Helv" w:hAnsi="Helv" w:cs="Helv"/>
          <w:b/>
          <w:bCs/>
          <w:color w:val="000000"/>
          <w:sz w:val="24"/>
          <w:szCs w:val="24"/>
          <w:u w:val="single"/>
        </w:rPr>
      </w:pPr>
      <w:r w:rsidRPr="007D69E9">
        <w:rPr>
          <w:rFonts w:ascii="Helv" w:hAnsi="Helv" w:cs="Helv"/>
          <w:b/>
          <w:bCs/>
          <w:color w:val="000000"/>
          <w:sz w:val="24"/>
          <w:szCs w:val="24"/>
          <w:u w:val="single"/>
        </w:rPr>
        <w:t>RELEVANT UNIVERSITY REGULATIONS</w:t>
      </w:r>
    </w:p>
    <w:p w:rsidR="007D69E9" w:rsidRPr="007D69E9" w:rsidRDefault="007D69E9" w:rsidP="007D69E9">
      <w:pPr>
        <w:spacing w:after="300"/>
        <w:rPr>
          <w:rFonts w:ascii="Arial" w:hAnsi="Arial" w:cs="Arial"/>
          <w:color w:val="141412"/>
        </w:rPr>
      </w:pPr>
      <w:r w:rsidRPr="007D69E9">
        <w:rPr>
          <w:rFonts w:ascii="Arial" w:hAnsi="Arial" w:cs="Arial"/>
          <w:b/>
          <w:bCs/>
          <w:color w:val="141412"/>
        </w:rPr>
        <w:t>Applicable to all ADMS and DEMS courses</w:t>
      </w:r>
    </w:p>
    <w:p w:rsidR="007D69E9" w:rsidRPr="007D69E9" w:rsidRDefault="007D69E9" w:rsidP="007D69E9">
      <w:pPr>
        <w:spacing w:after="300"/>
        <w:rPr>
          <w:rFonts w:ascii="Arial" w:hAnsi="Arial" w:cs="Arial"/>
          <w:color w:val="141412"/>
        </w:rPr>
      </w:pPr>
      <w:r w:rsidRPr="007D69E9">
        <w:rPr>
          <w:rFonts w:ascii="Arial" w:hAnsi="Arial" w:cs="Arial"/>
          <w:b/>
          <w:bCs/>
          <w:color w:val="141412"/>
        </w:rPr>
        <w:t>Deferred Final Exams: </w:t>
      </w:r>
      <w:r w:rsidRPr="007D69E9">
        <w:rPr>
          <w:rFonts w:ascii="Arial" w:hAnsi="Arial" w:cs="Arial"/>
          <w:color w:val="141412"/>
        </w:rPr>
        <w:t>Deferred standing may be granted to students who are unable to write their final examination at the scheduled time or to submit their outstanding course work on the last day of classes. Details can be found at </w:t>
      </w:r>
      <w:hyperlink r:id="rId4" w:history="1">
        <w:r w:rsidRPr="007D69E9">
          <w:rPr>
            <w:rStyle w:val="Hyperlink"/>
            <w:rFonts w:ascii="Arial" w:hAnsi="Arial" w:cs="Arial"/>
            <w:color w:val="E31837"/>
          </w:rPr>
          <w:t>http://myacademicrecord.students.yorku.ca/deferred-standing</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Any request for deferred standing on medical grounds must include an Attending Physician's Statement form; a “Doctor’s Note” will not be accepted.</w:t>
      </w:r>
    </w:p>
    <w:p w:rsidR="007D69E9" w:rsidRPr="007D69E9" w:rsidRDefault="007D69E9" w:rsidP="007D69E9">
      <w:pPr>
        <w:spacing w:after="300"/>
        <w:rPr>
          <w:rFonts w:ascii="Arial" w:hAnsi="Arial" w:cs="Arial"/>
          <w:color w:val="141412"/>
        </w:rPr>
      </w:pPr>
      <w:r w:rsidRPr="007D69E9">
        <w:rPr>
          <w:rFonts w:ascii="Arial" w:hAnsi="Arial" w:cs="Arial"/>
          <w:color w:val="141412"/>
        </w:rPr>
        <w:t>DSA Form: </w:t>
      </w:r>
      <w:hyperlink r:id="rId5" w:history="1">
        <w:r w:rsidRPr="007D69E9">
          <w:rPr>
            <w:rStyle w:val="Hyperlink"/>
            <w:rFonts w:ascii="Arial" w:hAnsi="Arial" w:cs="Arial"/>
            <w:color w:val="E31837"/>
          </w:rPr>
          <w:t>http://www.registrar.yorku.ca/pdf/deferred_standing_agreement.pdf</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Attending Physician's Statement form: </w:t>
      </w:r>
      <w:hyperlink r:id="rId6" w:history="1">
        <w:r w:rsidRPr="007D69E9">
          <w:rPr>
            <w:rStyle w:val="Hyperlink"/>
            <w:rFonts w:ascii="Arial" w:hAnsi="Arial" w:cs="Arial"/>
            <w:color w:val="E31837"/>
          </w:rPr>
          <w:t>http://registrar.yorku.ca/pdf/attending-physicians-statement.pdf</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In order to apply for deferred standing, students must register at</w:t>
      </w:r>
    </w:p>
    <w:p w:rsidR="007D69E9" w:rsidRPr="007D69E9" w:rsidRDefault="009E164F" w:rsidP="007D69E9">
      <w:pPr>
        <w:spacing w:after="300"/>
        <w:rPr>
          <w:rFonts w:ascii="Arial" w:hAnsi="Arial" w:cs="Arial"/>
          <w:color w:val="141412"/>
        </w:rPr>
      </w:pPr>
      <w:hyperlink r:id="rId7" w:history="1">
        <w:r w:rsidR="007D69E9" w:rsidRPr="007D69E9">
          <w:rPr>
            <w:rStyle w:val="Hyperlink"/>
            <w:rFonts w:ascii="Arial" w:hAnsi="Arial" w:cs="Arial"/>
            <w:color w:val="E31837"/>
          </w:rPr>
          <w:t>http://apps.eso.yorku.ca/apps/adms/deferredexams.nsf</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 xml:space="preserve">Followed by handing in a completed original Deferred Standing Agreement (DSA) form and supporting documentation directly to the main office of the School of Administrative Studies (282 Atkinson) and add your ticket number to the DSA form.  The DSA and supporting documentation must be submitted no later than five (5) business days from the date of the exam.  These requests will be considered on their merit and decisions will be made available by logging into the </w:t>
      </w:r>
      <w:proofErr w:type="gramStart"/>
      <w:r w:rsidRPr="007D69E9">
        <w:rPr>
          <w:rFonts w:ascii="Arial" w:hAnsi="Arial" w:cs="Arial"/>
          <w:color w:val="141412"/>
        </w:rPr>
        <w:t>above mentioned</w:t>
      </w:r>
      <w:proofErr w:type="gramEnd"/>
      <w:r w:rsidRPr="007D69E9">
        <w:rPr>
          <w:rFonts w:ascii="Arial" w:hAnsi="Arial" w:cs="Arial"/>
          <w:color w:val="141412"/>
        </w:rPr>
        <w:t xml:space="preserve"> link. No individualized communication will be sent by the School to the students (no letter or e-mails).</w:t>
      </w:r>
    </w:p>
    <w:p w:rsidR="007D69E9" w:rsidRPr="007D69E9" w:rsidRDefault="007D69E9" w:rsidP="007D69E9">
      <w:pPr>
        <w:spacing w:after="300"/>
        <w:rPr>
          <w:rFonts w:ascii="Arial" w:hAnsi="Arial" w:cs="Arial"/>
          <w:color w:val="141412"/>
        </w:rPr>
      </w:pPr>
      <w:r w:rsidRPr="007D69E9">
        <w:rPr>
          <w:rFonts w:ascii="Arial" w:hAnsi="Arial" w:cs="Arial"/>
          <w:color w:val="141412"/>
        </w:rPr>
        <w:t xml:space="preserve">Students with approved DSA will be able to write their deferred examination during the School's deferred examination period. </w:t>
      </w:r>
      <w:r w:rsidRPr="007D69E9">
        <w:rPr>
          <w:rFonts w:ascii="Arial" w:hAnsi="Arial" w:cs="Arial"/>
          <w:color w:val="141412"/>
          <w:u w:val="single"/>
        </w:rPr>
        <w:t>Deferred exams might take place during the regular exams period or in subsequent weeks depending on the course</w:t>
      </w:r>
      <w:r w:rsidRPr="007D69E9">
        <w:rPr>
          <w:rFonts w:ascii="Arial" w:hAnsi="Arial" w:cs="Arial"/>
          <w:color w:val="141412"/>
        </w:rPr>
        <w:t xml:space="preserve">; precise dates are known when the Office of the Registrar publishes the final exam schedule of the term. No further extensions of deferred exams shall be granted. The format and covered content of the deferred examination may be different from that of the originally scheduled examination. The deferred exam may be closed </w:t>
      </w:r>
      <w:r w:rsidRPr="007D69E9">
        <w:rPr>
          <w:rFonts w:ascii="Arial" w:hAnsi="Arial" w:cs="Arial"/>
          <w:color w:val="141412"/>
        </w:rPr>
        <w:lastRenderedPageBreak/>
        <w:t>book, cumulative and comprehensive and may include all subjects/topics of the textbook whether they have been covered in class or not.</w:t>
      </w:r>
    </w:p>
    <w:p w:rsidR="007D69E9" w:rsidRPr="007D69E9" w:rsidRDefault="007D69E9" w:rsidP="007D69E9">
      <w:pPr>
        <w:spacing w:after="300"/>
        <w:rPr>
          <w:rFonts w:ascii="Arial" w:hAnsi="Arial" w:cs="Arial"/>
          <w:color w:val="141412"/>
        </w:rPr>
      </w:pPr>
      <w:r w:rsidRPr="007D69E9">
        <w:rPr>
          <w:rFonts w:ascii="Arial" w:hAnsi="Arial" w:cs="Arial"/>
          <w:b/>
          <w:bCs/>
          <w:color w:val="141412"/>
        </w:rPr>
        <w:t>Academic Honesty</w:t>
      </w:r>
      <w:r w:rsidRPr="007D69E9">
        <w:rPr>
          <w:rFonts w:ascii="Arial" w:hAnsi="Arial" w:cs="Arial"/>
          <w:color w:val="141412"/>
        </w:rPr>
        <w:t xml:space="preserve">: The Faculty of Liberal Arts and Professional Studies considers breaches of the Senate Policy on Academic Honesty to be serious matters. The Senate Policy on Academic Honesty is an affirmation and clarification for members of the University of the general obligation to maintain the highest standards of academic honesty. As a clear sense of academic honesty and responsibility is fundamental to good scholarship, the policy recognizes the general responsibility of all faculty members to foster acceptable standards of academic conduct and of the student to be mindful of and abide by such standards. Suspected breaches of academic honesty will be </w:t>
      </w:r>
      <w:proofErr w:type="gramStart"/>
      <w:r w:rsidRPr="007D69E9">
        <w:rPr>
          <w:rFonts w:ascii="Arial" w:hAnsi="Arial" w:cs="Arial"/>
          <w:color w:val="141412"/>
        </w:rPr>
        <w:t>investigated</w:t>
      </w:r>
      <w:proofErr w:type="gramEnd"/>
      <w:r w:rsidRPr="007D69E9">
        <w:rPr>
          <w:rFonts w:ascii="Arial" w:hAnsi="Arial" w:cs="Arial"/>
          <w:color w:val="141412"/>
        </w:rPr>
        <w:t xml:space="preserve"> and charges shall be laid if reasonable and probable grounds exist.</w:t>
      </w:r>
    </w:p>
    <w:p w:rsidR="007D69E9" w:rsidRPr="007D69E9" w:rsidRDefault="007D69E9" w:rsidP="007D69E9">
      <w:pPr>
        <w:spacing w:after="300"/>
        <w:rPr>
          <w:rFonts w:ascii="Arial" w:hAnsi="Arial" w:cs="Arial"/>
          <w:color w:val="141412"/>
        </w:rPr>
      </w:pPr>
      <w:r w:rsidRPr="007D69E9">
        <w:rPr>
          <w:rFonts w:ascii="Arial" w:hAnsi="Arial" w:cs="Arial"/>
          <w:color w:val="141412"/>
        </w:rPr>
        <w:t>Students should review the York Academic Honesty policy for themselves at:</w:t>
      </w:r>
    </w:p>
    <w:p w:rsidR="007D69E9" w:rsidRPr="007D69E9" w:rsidRDefault="009E164F" w:rsidP="007D69E9">
      <w:pPr>
        <w:spacing w:after="300"/>
        <w:rPr>
          <w:rFonts w:ascii="Arial" w:hAnsi="Arial" w:cs="Arial"/>
          <w:color w:val="141412"/>
        </w:rPr>
      </w:pPr>
      <w:hyperlink r:id="rId8" w:history="1">
        <w:r w:rsidR="007D69E9" w:rsidRPr="007D69E9">
          <w:rPr>
            <w:rStyle w:val="Hyperlink"/>
            <w:rFonts w:ascii="Arial" w:hAnsi="Arial" w:cs="Arial"/>
            <w:color w:val="E31837"/>
          </w:rPr>
          <w:t>http://www.yorku.ca/secretariat/policies/document.php?document=69</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Students might also wish to review the interactive on-line Tutorial for students on academic integrity, at:</w:t>
      </w:r>
    </w:p>
    <w:p w:rsidR="007D69E9" w:rsidRPr="007D69E9" w:rsidRDefault="009E164F" w:rsidP="007D69E9">
      <w:pPr>
        <w:spacing w:after="300"/>
        <w:rPr>
          <w:rFonts w:ascii="Arial" w:hAnsi="Arial" w:cs="Arial"/>
          <w:color w:val="141412"/>
        </w:rPr>
      </w:pPr>
      <w:hyperlink r:id="rId9" w:history="1">
        <w:r w:rsidR="007D69E9" w:rsidRPr="007D69E9">
          <w:rPr>
            <w:rStyle w:val="Hyperlink"/>
            <w:rFonts w:ascii="Arial" w:hAnsi="Arial" w:cs="Arial"/>
            <w:color w:val="E31837"/>
          </w:rPr>
          <w:t>https://spark.library.yorku.ca/academic-integrity-what-is-academic-integrity/</w:t>
        </w:r>
      </w:hyperlink>
    </w:p>
    <w:p w:rsidR="007D69E9" w:rsidRPr="007D69E9" w:rsidRDefault="007D69E9" w:rsidP="007D69E9">
      <w:pPr>
        <w:spacing w:after="300"/>
        <w:rPr>
          <w:rFonts w:ascii="Arial" w:hAnsi="Arial" w:cs="Arial"/>
          <w:color w:val="141412"/>
        </w:rPr>
      </w:pPr>
      <w:r w:rsidRPr="007D69E9">
        <w:rPr>
          <w:rFonts w:ascii="Arial" w:hAnsi="Arial" w:cs="Arial"/>
          <w:b/>
          <w:bCs/>
          <w:color w:val="141412"/>
        </w:rPr>
        <w:br/>
        <w:t>Grading Scheme and Feedback Policy: </w:t>
      </w:r>
      <w:r w:rsidRPr="007D69E9">
        <w:rPr>
          <w:rFonts w:ascii="Arial" w:hAnsi="Arial" w:cs="Arial"/>
          <w:color w:val="141412"/>
        </w:rPr>
        <w:t>The grading scheme (i.e. kinds and weights of assignments, essays, exams, etc.) shall be announced, and be available in writing, within the first two weeks of class, and,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 with the following exceptions:</w:t>
      </w:r>
    </w:p>
    <w:p w:rsidR="007D69E9" w:rsidRPr="007D69E9" w:rsidRDefault="007D69E9" w:rsidP="007D69E9">
      <w:pPr>
        <w:spacing w:after="300"/>
        <w:rPr>
          <w:rFonts w:ascii="Arial" w:hAnsi="Arial" w:cs="Arial"/>
          <w:color w:val="141412"/>
        </w:rPr>
      </w:pPr>
      <w:r w:rsidRPr="007D69E9">
        <w:rPr>
          <w:rFonts w:ascii="Arial" w:hAnsi="Arial" w:cs="Arial"/>
          <w:i/>
          <w:iCs/>
          <w:color w:val="141412"/>
        </w:rPr>
        <w:t xml:space="preserve">Note: Under unusual and/or unforeseeable circumstances which disrupt the academic norm, instructors are expected to provide grading schemes and academic feedback in the spirit of these regulations, as soon as </w:t>
      </w:r>
      <w:proofErr w:type="spellStart"/>
      <w:r w:rsidRPr="007D69E9">
        <w:rPr>
          <w:rFonts w:ascii="Arial" w:hAnsi="Arial" w:cs="Arial"/>
          <w:i/>
          <w:iCs/>
          <w:color w:val="141412"/>
        </w:rPr>
        <w:t>possible.</w:t>
      </w:r>
      <w:r w:rsidRPr="007D69E9">
        <w:rPr>
          <w:rFonts w:ascii="Arial" w:hAnsi="Arial" w:cs="Arial"/>
          <w:color w:val="141412"/>
        </w:rPr>
        <w:t>For</w:t>
      </w:r>
      <w:proofErr w:type="spellEnd"/>
      <w:r w:rsidRPr="007D69E9">
        <w:rPr>
          <w:rFonts w:ascii="Arial" w:hAnsi="Arial" w:cs="Arial"/>
          <w:color w:val="141412"/>
        </w:rPr>
        <w:t xml:space="preserve"> more information on the Grading Scheme and Feedback Policy, please visit: </w:t>
      </w:r>
      <w:hyperlink r:id="rId10" w:history="1">
        <w:r w:rsidRPr="007D69E9">
          <w:rPr>
            <w:rStyle w:val="Hyperlink"/>
            <w:rFonts w:ascii="Arial" w:hAnsi="Arial" w:cs="Arial"/>
            <w:color w:val="E31837"/>
          </w:rPr>
          <w:t>http://www.yorku.ca/univsec/policies/document.php?document=86</w:t>
        </w:r>
      </w:hyperlink>
    </w:p>
    <w:p w:rsidR="007D69E9" w:rsidRPr="007D69E9" w:rsidRDefault="007D69E9" w:rsidP="007D69E9">
      <w:pPr>
        <w:spacing w:after="300"/>
        <w:rPr>
          <w:rFonts w:ascii="Arial" w:hAnsi="Arial" w:cs="Arial"/>
          <w:color w:val="141412"/>
        </w:rPr>
      </w:pPr>
      <w:r w:rsidRPr="007D69E9">
        <w:rPr>
          <w:rFonts w:ascii="Arial" w:hAnsi="Arial" w:cs="Arial"/>
          <w:b/>
          <w:bCs/>
          <w:color w:val="141412"/>
        </w:rPr>
        <w:br/>
        <w:t>In-Class Tests and Exams - the 20% Rule</w:t>
      </w:r>
      <w:r w:rsidRPr="007D69E9">
        <w:rPr>
          <w:rFonts w:ascii="Arial" w:hAnsi="Arial" w:cs="Arial"/>
          <w:color w:val="141412"/>
        </w:rPr>
        <w:t>: For all Undergraduate courses, except those which regularly meet on Friday evening or on a weekend, tests or exams worth more than 20% will not be held in the two weeks prior to the beginning of the official examination period. For further information on the 20% Rule, please visit: </w:t>
      </w:r>
      <w:hyperlink r:id="rId11" w:history="1">
        <w:r w:rsidRPr="007D69E9">
          <w:rPr>
            <w:rStyle w:val="Hyperlink"/>
            <w:rFonts w:ascii="Arial" w:hAnsi="Arial" w:cs="Arial"/>
            <w:color w:val="E31837"/>
          </w:rPr>
          <w:t>http://secretariat-policies.info.yorku.ca/policies/limits-on-the-worth-of-examinations-in-the-final-classes-of-a-term-policy/</w:t>
        </w:r>
      </w:hyperlink>
    </w:p>
    <w:p w:rsidR="007D69E9" w:rsidRPr="007D69E9" w:rsidRDefault="007D69E9" w:rsidP="007D69E9">
      <w:pPr>
        <w:spacing w:after="300"/>
        <w:rPr>
          <w:rFonts w:ascii="Arial" w:hAnsi="Arial" w:cs="Arial"/>
          <w:color w:val="141412"/>
        </w:rPr>
      </w:pPr>
      <w:r w:rsidRPr="007D69E9">
        <w:rPr>
          <w:rFonts w:ascii="Arial" w:hAnsi="Arial" w:cs="Arial"/>
          <w:b/>
          <w:bCs/>
          <w:color w:val="141412"/>
        </w:rPr>
        <w:br/>
        <w:t>Reappraisals</w:t>
      </w:r>
      <w:r w:rsidRPr="007D69E9">
        <w:rPr>
          <w:rFonts w:ascii="Arial" w:hAnsi="Arial" w:cs="Arial"/>
          <w:color w:val="141412"/>
        </w:rPr>
        <w:t xml:space="preserve">: Students may, with </w:t>
      </w:r>
      <w:proofErr w:type="gramStart"/>
      <w:r w:rsidRPr="007D69E9">
        <w:rPr>
          <w:rFonts w:ascii="Arial" w:hAnsi="Arial" w:cs="Arial"/>
          <w:color w:val="141412"/>
        </w:rPr>
        <w:t>sufficient</w:t>
      </w:r>
      <w:proofErr w:type="gramEnd"/>
      <w:r w:rsidRPr="007D69E9">
        <w:rPr>
          <w:rFonts w:ascii="Arial" w:hAnsi="Arial" w:cs="Arial"/>
          <w:color w:val="141412"/>
        </w:rPr>
        <w:t xml:space="preserve"> academic grounds,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w:t>
      </w:r>
      <w:r w:rsidRPr="007D69E9">
        <w:rPr>
          <w:rFonts w:ascii="Arial" w:hAnsi="Arial" w:cs="Arial"/>
          <w:color w:val="141412"/>
        </w:rPr>
        <w:lastRenderedPageBreak/>
        <w:t>Tangible work may include written, graphic, digitized, modeled, video recording or audio recording formats, but not oral work.  Students need to be aware that a request for a grade reappraisal may result in the original grade being raised, lowered or confirmed. For reappraisal procedures and information, please visit the Office of the Registrar site at: </w:t>
      </w:r>
      <w:hyperlink r:id="rId12" w:history="1">
        <w:r w:rsidRPr="007D69E9">
          <w:rPr>
            <w:rStyle w:val="Hyperlink"/>
            <w:rFonts w:ascii="Arial" w:hAnsi="Arial" w:cs="Arial"/>
            <w:color w:val="E31837"/>
          </w:rPr>
          <w:t>http://myacademicrecord.students.yorku.ca/grade-reappraisal-policy</w:t>
        </w:r>
      </w:hyperlink>
    </w:p>
    <w:p w:rsidR="007D69E9" w:rsidRPr="007D69E9" w:rsidRDefault="007D69E9" w:rsidP="007D69E9">
      <w:pPr>
        <w:spacing w:after="300"/>
        <w:rPr>
          <w:rFonts w:ascii="Arial" w:hAnsi="Arial" w:cs="Arial"/>
          <w:b/>
          <w:bCs/>
          <w:color w:val="141412"/>
        </w:rPr>
      </w:pPr>
      <w:r w:rsidRPr="007D69E9">
        <w:rPr>
          <w:rFonts w:ascii="Arial" w:hAnsi="Arial" w:cs="Arial"/>
          <w:b/>
          <w:bCs/>
          <w:color w:val="141412"/>
        </w:rPr>
        <w:br/>
        <w:t>Accommodation Procedures:</w:t>
      </w:r>
      <w:r w:rsidRPr="007D69E9">
        <w:rPr>
          <w:rFonts w:ascii="Arial" w:hAnsi="Arial" w:cs="Arial"/>
          <w:color w:val="141412"/>
        </w:rPr>
        <w:t> LA&amp;PS students who have experienced a misfortune or who are too ill to attend the final examination in an ADMS course should not attempt to do so; they must pursue deferred standing. Other students should contact their home Faculty for information. For further information, please visit: </w:t>
      </w:r>
      <w:hyperlink r:id="rId13" w:history="1">
        <w:r w:rsidRPr="007D69E9">
          <w:rPr>
            <w:rStyle w:val="Hyperlink"/>
            <w:rFonts w:ascii="Arial" w:hAnsi="Arial" w:cs="Arial"/>
            <w:color w:val="E31837"/>
          </w:rPr>
          <w:t>http://ds.info.yorku.ca/academic-support-accomodations/</w:t>
        </w:r>
      </w:hyperlink>
    </w:p>
    <w:p w:rsidR="007D69E9" w:rsidRPr="007D69E9" w:rsidRDefault="007D69E9" w:rsidP="007D69E9">
      <w:pPr>
        <w:spacing w:after="300"/>
        <w:rPr>
          <w:rFonts w:ascii="Arial" w:hAnsi="Arial" w:cs="Arial"/>
          <w:color w:val="141412"/>
        </w:rPr>
      </w:pPr>
      <w:r w:rsidRPr="007D69E9">
        <w:rPr>
          <w:rFonts w:ascii="Arial" w:hAnsi="Arial" w:cs="Arial"/>
          <w:b/>
          <w:bCs/>
          <w:color w:val="141412"/>
        </w:rPr>
        <w:br/>
        <w:t>Religious Accommodation</w:t>
      </w:r>
      <w:r w:rsidRPr="007D69E9">
        <w:rPr>
          <w:rFonts w:ascii="Arial" w:hAnsi="Arial" w:cs="Arial"/>
          <w:color w:val="141412"/>
        </w:rPr>
        <w:t xml:space="preserve">: York University is committed to respecting the religious beliefs and practices of all members of the </w:t>
      </w:r>
      <w:proofErr w:type="gramStart"/>
      <w:r w:rsidRPr="007D69E9">
        <w:rPr>
          <w:rFonts w:ascii="Arial" w:hAnsi="Arial" w:cs="Arial"/>
          <w:color w:val="141412"/>
        </w:rPr>
        <w:t>community, and</w:t>
      </w:r>
      <w:proofErr w:type="gramEnd"/>
      <w:r w:rsidRPr="007D69E9">
        <w:rPr>
          <w:rFonts w:ascii="Arial" w:hAnsi="Arial" w:cs="Arial"/>
          <w:color w:val="141412"/>
        </w:rPr>
        <w:t xml:space="preserve"> making accommodations for observances of special significance to adherents. For more information on religious accommodation, please visit:</w:t>
      </w:r>
      <w:r w:rsidRPr="007D69E9">
        <w:rPr>
          <w:rFonts w:ascii="Arial" w:hAnsi="Arial" w:cs="Arial"/>
          <w:color w:val="141412"/>
          <w:u w:val="single"/>
        </w:rPr>
        <w:br/>
      </w:r>
      <w:hyperlink r:id="rId14" w:history="1">
        <w:r w:rsidRPr="007D69E9">
          <w:rPr>
            <w:rStyle w:val="Hyperlink"/>
            <w:rFonts w:ascii="Arial" w:hAnsi="Arial" w:cs="Arial"/>
            <w:color w:val="E31837"/>
          </w:rPr>
          <w:t>https://w2prod.sis.yorku.ca/Apps/WebObjects/cdm.woa/wa/regobs</w:t>
        </w:r>
      </w:hyperlink>
    </w:p>
    <w:p w:rsidR="007D69E9" w:rsidRPr="007D69E9" w:rsidRDefault="007D69E9" w:rsidP="007D69E9">
      <w:pPr>
        <w:spacing w:after="300"/>
        <w:rPr>
          <w:rFonts w:ascii="Arial" w:hAnsi="Arial" w:cs="Arial"/>
          <w:color w:val="141412"/>
        </w:rPr>
      </w:pPr>
      <w:r w:rsidRPr="007D69E9">
        <w:rPr>
          <w:rFonts w:ascii="Arial" w:hAnsi="Arial" w:cs="Arial"/>
          <w:b/>
          <w:bCs/>
          <w:color w:val="141412"/>
        </w:rPr>
        <w:br/>
        <w:t>Academic Accommodation for Students with Disabilities (Senate Policy)</w:t>
      </w:r>
    </w:p>
    <w:p w:rsidR="007D69E9" w:rsidRPr="007D69E9" w:rsidRDefault="007D69E9" w:rsidP="007D69E9">
      <w:pPr>
        <w:spacing w:after="300"/>
        <w:rPr>
          <w:rFonts w:ascii="Arial" w:hAnsi="Arial" w:cs="Arial"/>
          <w:color w:val="141412"/>
        </w:rPr>
      </w:pPr>
      <w:r w:rsidRPr="007D69E9">
        <w:rPr>
          <w:rFonts w:ascii="Arial" w:hAnsi="Arial" w:cs="Arial"/>
          <w:color w:val="141412"/>
        </w:rPr>
        <w:t xml:space="preserve">The nature and extent of accommodations shall be consistent with and supportive of the integrity of the curriculum and of the academic standards of programs or courses. Provided that students have given </w:t>
      </w:r>
      <w:proofErr w:type="gramStart"/>
      <w:r w:rsidRPr="007D69E9">
        <w:rPr>
          <w:rFonts w:ascii="Arial" w:hAnsi="Arial" w:cs="Arial"/>
          <w:color w:val="141412"/>
        </w:rPr>
        <w:t>sufficient</w:t>
      </w:r>
      <w:proofErr w:type="gramEnd"/>
      <w:r w:rsidRPr="007D69E9">
        <w:rPr>
          <w:rFonts w:ascii="Arial" w:hAnsi="Arial" w:cs="Arial"/>
          <w:color w:val="141412"/>
        </w:rPr>
        <w:t xml:space="preserve"> notice about their accommodation needs, instructors shall take reasonable steps to accommodate these needs in a manner consistent with the guidelines established hereunder. For more information, please visit the Student Accessibility Services (formerly known as Counselling and Disability Services) website at </w:t>
      </w:r>
      <w:hyperlink r:id="rId15" w:history="1">
        <w:r w:rsidRPr="007D69E9">
          <w:rPr>
            <w:rStyle w:val="Hyperlink"/>
            <w:rFonts w:ascii="Arial" w:hAnsi="Arial" w:cs="Arial"/>
            <w:color w:val="E31837"/>
          </w:rPr>
          <w:t>https://accessibility.students.yorku.ca</w:t>
        </w:r>
      </w:hyperlink>
    </w:p>
    <w:p w:rsidR="007D69E9" w:rsidRPr="007D69E9" w:rsidRDefault="007D69E9" w:rsidP="007D69E9">
      <w:pPr>
        <w:spacing w:after="300"/>
        <w:rPr>
          <w:rFonts w:ascii="Arial" w:hAnsi="Arial" w:cs="Arial"/>
          <w:color w:val="141412"/>
        </w:rPr>
      </w:pPr>
      <w:r w:rsidRPr="007D69E9">
        <w:rPr>
          <w:rFonts w:ascii="Arial" w:hAnsi="Arial" w:cs="Arial"/>
          <w:color w:val="141412"/>
        </w:rPr>
        <w:t xml:space="preserve">York’s disabilities offices and the Registrar’s Office work in partnership to support alternate exam and test accommodation services for students with disabilities at the </w:t>
      </w:r>
      <w:proofErr w:type="spellStart"/>
      <w:r w:rsidRPr="007D69E9">
        <w:rPr>
          <w:rFonts w:ascii="Arial" w:hAnsi="Arial" w:cs="Arial"/>
          <w:color w:val="141412"/>
        </w:rPr>
        <w:t>Keele</w:t>
      </w:r>
      <w:proofErr w:type="spellEnd"/>
      <w:r w:rsidRPr="007D69E9">
        <w:rPr>
          <w:rFonts w:ascii="Arial" w:hAnsi="Arial" w:cs="Arial"/>
          <w:color w:val="141412"/>
        </w:rPr>
        <w:t xml:space="preserve"> campus. For more information on alternate exams and tests please visit </w:t>
      </w:r>
      <w:hyperlink r:id="rId16" w:history="1">
        <w:r w:rsidRPr="007D69E9">
          <w:rPr>
            <w:rStyle w:val="Hyperlink"/>
            <w:rFonts w:ascii="Arial" w:hAnsi="Arial" w:cs="Arial"/>
            <w:color w:val="E31837"/>
          </w:rPr>
          <w:t>http://www.yorku.ca/altexams/</w:t>
        </w:r>
      </w:hyperlink>
    </w:p>
    <w:p w:rsidR="007D69E9" w:rsidRPr="007D69E9" w:rsidRDefault="007D69E9" w:rsidP="007D69E9">
      <w:pPr>
        <w:spacing w:after="300"/>
        <w:rPr>
          <w:rFonts w:ascii="Arial" w:eastAsia="Calibri" w:hAnsi="Arial" w:cs="Arial"/>
        </w:rPr>
      </w:pPr>
      <w:r w:rsidRPr="007D69E9">
        <w:rPr>
          <w:rFonts w:ascii="Arial" w:hAnsi="Arial" w:cs="Arial"/>
          <w:color w:val="141412"/>
        </w:rPr>
        <w:t>Please alert the Course Director as soon as possible should you require special accommodations.</w:t>
      </w:r>
      <w:r w:rsidRPr="007D69E9">
        <w:rPr>
          <w:rFonts w:ascii="Arial" w:hAnsi="Arial" w:cs="Arial"/>
          <w:color w:val="000000"/>
        </w:rPr>
        <w:t xml:space="preserve"> </w:t>
      </w:r>
    </w:p>
    <w:p w:rsidR="007D69E9" w:rsidRPr="007D69E9" w:rsidRDefault="007D69E9" w:rsidP="007D69E9">
      <w:pPr>
        <w:spacing w:before="240"/>
        <w:ind w:left="360"/>
        <w:jc w:val="center"/>
        <w:rPr>
          <w:rFonts w:ascii="Helv" w:hAnsi="Helv" w:cs="Helv"/>
          <w:b/>
          <w:color w:val="000000"/>
          <w:u w:val="single"/>
        </w:rPr>
      </w:pPr>
      <w:r w:rsidRPr="007D69E9">
        <w:rPr>
          <w:rFonts w:ascii="Helv" w:hAnsi="Helv" w:cs="Helv"/>
          <w:b/>
          <w:color w:val="000000"/>
          <w:u w:val="single"/>
        </w:rPr>
        <w:t xml:space="preserve"> </w:t>
      </w:r>
    </w:p>
    <w:p w:rsidR="007D69E9" w:rsidRPr="007D69E9" w:rsidRDefault="007D69E9" w:rsidP="007D69E9">
      <w:pPr>
        <w:widowControl w:val="0"/>
      </w:pPr>
    </w:p>
    <w:p w:rsidR="007D69E9" w:rsidRPr="007D69E9" w:rsidRDefault="007D69E9" w:rsidP="007D69E9">
      <w:pPr>
        <w:rPr>
          <w:rFonts w:ascii="Tms Rmn" w:hAnsi="Tms Rmn"/>
        </w:rPr>
      </w:pPr>
    </w:p>
    <w:p w:rsidR="007D69E9" w:rsidRPr="007D69E9" w:rsidRDefault="007D69E9" w:rsidP="007D69E9">
      <w:pPr>
        <w:autoSpaceDE w:val="0"/>
        <w:autoSpaceDN w:val="0"/>
        <w:adjustRightInd w:val="0"/>
        <w:spacing w:before="240"/>
        <w:jc w:val="both"/>
        <w:rPr>
          <w:rFonts w:ascii="Helv" w:hAnsi="Helv" w:cs="Helv"/>
          <w:b/>
          <w:bCs/>
          <w:color w:val="000000"/>
        </w:rPr>
      </w:pPr>
      <w:r w:rsidRPr="007D69E9">
        <w:rPr>
          <w:rFonts w:ascii="Helv" w:hAnsi="Helv" w:cs="Helv"/>
          <w:b/>
          <w:bCs/>
          <w:color w:val="000000"/>
        </w:rPr>
        <w:t xml:space="preserve"> </w:t>
      </w:r>
    </w:p>
    <w:p w:rsidR="007D69E9" w:rsidRPr="007D69E9" w:rsidRDefault="007D69E9" w:rsidP="007D69E9"/>
    <w:p w:rsidR="004A3D49" w:rsidRPr="007D69E9" w:rsidRDefault="004A3D49"/>
    <w:sectPr w:rsidR="004A3D49" w:rsidRPr="007D69E9" w:rsidSect="007D69E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9E9"/>
    <w:rsid w:val="004A3D49"/>
    <w:rsid w:val="007D69E9"/>
    <w:rsid w:val="009E164F"/>
    <w:rsid w:val="00FA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E7FC"/>
  <w15:chartTrackingRefBased/>
  <w15:docId w15:val="{37598737-DE85-44E6-B02A-5C45748A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secretariat/policies/document.php?document=69" TargetMode="External"/><Relationship Id="rId13" Type="http://schemas.openxmlformats.org/officeDocument/2006/relationships/hyperlink" Target="http://ds.info.yorku.ca/academic-support-accomodation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s.eso.yorku.ca/apps/adms/deferredexams.nsf" TargetMode="External"/><Relationship Id="rId12" Type="http://schemas.openxmlformats.org/officeDocument/2006/relationships/hyperlink" Target="http://myacademicrecord.students.yorku.ca/grade-reappraisal-polic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rku.ca/altexams/" TargetMode="External"/><Relationship Id="rId1" Type="http://schemas.openxmlformats.org/officeDocument/2006/relationships/styles" Target="styles.xml"/><Relationship Id="rId6" Type="http://schemas.openxmlformats.org/officeDocument/2006/relationships/hyperlink" Target="http://registrar.yorku.ca/pdf/attending-physicians-statement.pdf" TargetMode="External"/><Relationship Id="rId11" Type="http://schemas.openxmlformats.org/officeDocument/2006/relationships/hyperlink" Target="http://secretariat-policies.info.yorku.ca/policies/limits-on-the-worth-of-examinations-in-the-final-classes-of-a-term-policy/" TargetMode="External"/><Relationship Id="rId5" Type="http://schemas.openxmlformats.org/officeDocument/2006/relationships/hyperlink" Target="http://www.registrar.yorku.ca/pdf/deferred_standing_agreement.pdf" TargetMode="External"/><Relationship Id="rId15" Type="http://schemas.openxmlformats.org/officeDocument/2006/relationships/hyperlink" Target="https://accessibility.students.yorku.ca/" TargetMode="External"/><Relationship Id="rId10" Type="http://schemas.openxmlformats.org/officeDocument/2006/relationships/hyperlink" Target="http://www.yorku.ca/univsec/policies/document.php?document=86" TargetMode="External"/><Relationship Id="rId4" Type="http://schemas.openxmlformats.org/officeDocument/2006/relationships/hyperlink" Target="http://myacademicrecord.students.yorku.ca/deferred-standing" TargetMode="External"/><Relationship Id="rId9" Type="http://schemas.openxmlformats.org/officeDocument/2006/relationships/hyperlink" Target="https://spark.library.yorku.ca/academic-integrity-what-is-academic-integrity/" TargetMode="External"/><Relationship Id="rId14"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Sabatini</dc:creator>
  <cp:keywords/>
  <dc:description/>
  <cp:lastModifiedBy>Vita Sabatini</cp:lastModifiedBy>
  <cp:revision>3</cp:revision>
  <dcterms:created xsi:type="dcterms:W3CDTF">2019-09-06T14:16:00Z</dcterms:created>
  <dcterms:modified xsi:type="dcterms:W3CDTF">2019-09-06T14:25:00Z</dcterms:modified>
</cp:coreProperties>
</file>