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5EB33" w14:textId="77777777" w:rsidR="00C43F77" w:rsidRPr="00C43F77" w:rsidRDefault="00C43F77" w:rsidP="00C43F77">
      <w:pPr>
        <w:spacing w:after="0" w:line="240" w:lineRule="auto"/>
        <w:rPr>
          <w:rFonts w:cstheme="minorHAnsi"/>
          <w:b/>
          <w:lang w:val="en-GB"/>
        </w:rPr>
      </w:pPr>
      <w:r w:rsidRPr="00C43F77">
        <w:rPr>
          <w:rFonts w:cstheme="minorHAnsi"/>
          <w:b/>
          <w:lang w:val="en-GB"/>
        </w:rPr>
        <w:t>YORK UNIVERSITY</w:t>
      </w:r>
    </w:p>
    <w:p w14:paraId="5EDCF604" w14:textId="77777777" w:rsidR="00C43F77" w:rsidRPr="00C43F77" w:rsidRDefault="00C43F77" w:rsidP="00C43F77">
      <w:pPr>
        <w:spacing w:after="0" w:line="240" w:lineRule="auto"/>
        <w:rPr>
          <w:rFonts w:cstheme="minorHAnsi"/>
          <w:b/>
          <w:lang w:val="en-GB"/>
        </w:rPr>
      </w:pPr>
      <w:r w:rsidRPr="00C43F77">
        <w:rPr>
          <w:rFonts w:cstheme="minorHAnsi"/>
          <w:b/>
          <w:lang w:val="en-GB"/>
        </w:rPr>
        <w:t>School of Administrative Studies</w:t>
      </w:r>
    </w:p>
    <w:p w14:paraId="5DD6E645" w14:textId="77777777" w:rsidR="00C43F77" w:rsidRPr="00C43F77" w:rsidRDefault="00C43F77" w:rsidP="00C43F77">
      <w:pPr>
        <w:spacing w:after="0" w:line="240" w:lineRule="auto"/>
        <w:rPr>
          <w:rFonts w:cstheme="minorHAnsi"/>
          <w:b/>
          <w:lang w:val="en-GB"/>
        </w:rPr>
      </w:pPr>
      <w:r w:rsidRPr="00C43F77">
        <w:rPr>
          <w:rFonts w:cstheme="minorHAnsi"/>
          <w:b/>
          <w:lang w:val="en-GB"/>
        </w:rPr>
        <w:t xml:space="preserve">DEMS 4704 3.0 – Disaster and Logistics </w:t>
      </w:r>
    </w:p>
    <w:p w14:paraId="184CD7B6" w14:textId="662B054F" w:rsidR="00C43F77" w:rsidRPr="00C43F77" w:rsidRDefault="00C43F77" w:rsidP="00C43F77">
      <w:pPr>
        <w:spacing w:after="0" w:line="240" w:lineRule="auto"/>
        <w:rPr>
          <w:rFonts w:cstheme="minorHAnsi"/>
          <w:b/>
          <w:lang w:val="en-GB"/>
        </w:rPr>
      </w:pPr>
      <w:r w:rsidRPr="00C43F77">
        <w:rPr>
          <w:rFonts w:cstheme="minorHAnsi"/>
          <w:b/>
          <w:lang w:val="en-GB"/>
        </w:rPr>
        <w:t>Winter 20</w:t>
      </w:r>
      <w:r w:rsidR="00DA11F0">
        <w:rPr>
          <w:rFonts w:cstheme="minorHAnsi"/>
          <w:b/>
          <w:lang w:val="en-GB"/>
        </w:rPr>
        <w:t>21</w:t>
      </w:r>
    </w:p>
    <w:p w14:paraId="56FC1125" w14:textId="77777777" w:rsidR="00C43F77" w:rsidRPr="00C43F77" w:rsidRDefault="00C43F77" w:rsidP="00C43F77">
      <w:pPr>
        <w:spacing w:after="0" w:line="240" w:lineRule="auto"/>
        <w:rPr>
          <w:rFonts w:cstheme="minorHAnsi"/>
          <w:b/>
          <w:lang w:val="en-GB"/>
        </w:rPr>
      </w:pPr>
      <w:r>
        <w:rPr>
          <w:rFonts w:cstheme="minorHAnsi"/>
          <w:b/>
          <w:lang w:val="en-GB"/>
        </w:rPr>
        <w:t>Monday</w:t>
      </w:r>
      <w:r w:rsidRPr="00C43F77">
        <w:rPr>
          <w:rFonts w:cstheme="minorHAnsi"/>
          <w:b/>
          <w:lang w:val="en-GB"/>
        </w:rPr>
        <w:t xml:space="preserve">, </w:t>
      </w:r>
      <w:r>
        <w:rPr>
          <w:rFonts w:cstheme="minorHAnsi"/>
          <w:b/>
          <w:lang w:val="en-GB"/>
        </w:rPr>
        <w:t>7</w:t>
      </w:r>
      <w:r w:rsidRPr="00C43F77">
        <w:rPr>
          <w:rFonts w:cstheme="minorHAnsi"/>
          <w:b/>
          <w:lang w:val="en-GB"/>
        </w:rPr>
        <w:t xml:space="preserve">:00 pm – </w:t>
      </w:r>
      <w:r>
        <w:rPr>
          <w:rFonts w:cstheme="minorHAnsi"/>
          <w:b/>
          <w:lang w:val="en-GB"/>
        </w:rPr>
        <w:t>10</w:t>
      </w:r>
      <w:r w:rsidRPr="00C43F77">
        <w:rPr>
          <w:rFonts w:cstheme="minorHAnsi"/>
          <w:b/>
          <w:lang w:val="en-GB"/>
        </w:rPr>
        <w:t>:00pm</w:t>
      </w:r>
    </w:p>
    <w:p w14:paraId="1F2AA2D8" w14:textId="77777777" w:rsidR="00C43F77" w:rsidRPr="00C43F77" w:rsidRDefault="00C43F77" w:rsidP="00C43F77">
      <w:pPr>
        <w:spacing w:after="0" w:line="240" w:lineRule="auto"/>
        <w:rPr>
          <w:rFonts w:cstheme="minorHAnsi"/>
          <w:b/>
          <w:lang w:val="en-GB"/>
        </w:rPr>
      </w:pPr>
      <w:r w:rsidRPr="00C43F77">
        <w:rPr>
          <w:rFonts w:cstheme="minorHAnsi"/>
          <w:b/>
          <w:lang w:val="en-GB"/>
        </w:rPr>
        <w:t xml:space="preserve">Instructor: </w:t>
      </w:r>
      <w:r>
        <w:rPr>
          <w:rFonts w:cstheme="minorHAnsi"/>
          <w:b/>
          <w:lang w:val="en-GB"/>
        </w:rPr>
        <w:t>David DeVries</w:t>
      </w:r>
    </w:p>
    <w:p w14:paraId="41B5E93F" w14:textId="77777777" w:rsidR="00C43F77" w:rsidRPr="00C43F77" w:rsidRDefault="00C43F77" w:rsidP="00C43F77">
      <w:pPr>
        <w:spacing w:after="0" w:line="240" w:lineRule="auto"/>
        <w:rPr>
          <w:rFonts w:cstheme="minorHAnsi"/>
          <w:b/>
          <w:lang w:val="en-GB"/>
        </w:rPr>
      </w:pPr>
      <w:r w:rsidRPr="00C43F77">
        <w:rPr>
          <w:rFonts w:cstheme="minorHAnsi"/>
          <w:b/>
          <w:lang w:val="en-GB"/>
        </w:rPr>
        <w:t xml:space="preserve">Email: </w:t>
      </w:r>
      <w:r w:rsidR="00714FD5">
        <w:rPr>
          <w:rFonts w:cstheme="minorHAnsi"/>
          <w:b/>
          <w:lang w:val="en-GB"/>
        </w:rPr>
        <w:t>SLH 107</w:t>
      </w:r>
    </w:p>
    <w:p w14:paraId="7AC1F93D" w14:textId="77777777" w:rsidR="00C43F77" w:rsidRDefault="00C43F77" w:rsidP="00C43F77">
      <w:pPr>
        <w:spacing w:after="0" w:line="240" w:lineRule="auto"/>
        <w:rPr>
          <w:rFonts w:cstheme="minorHAnsi"/>
        </w:rPr>
      </w:pPr>
      <w:r w:rsidRPr="00C43F77">
        <w:rPr>
          <w:rFonts w:cstheme="minorHAnsi"/>
          <w:b/>
          <w:lang w:val="en-GB"/>
        </w:rPr>
        <w:t>Office Hours: by appointment</w:t>
      </w:r>
    </w:p>
    <w:p w14:paraId="768138EF" w14:textId="77777777" w:rsidR="00052071" w:rsidRDefault="00052071" w:rsidP="00C43F77">
      <w:pPr>
        <w:spacing w:after="0" w:line="240" w:lineRule="auto"/>
        <w:rPr>
          <w:rFonts w:cstheme="minorHAnsi"/>
          <w:b/>
          <w:u w:val="single"/>
        </w:rPr>
      </w:pPr>
    </w:p>
    <w:p w14:paraId="18CAA01B" w14:textId="5F3E5CF6" w:rsidR="00C43F77" w:rsidRPr="00C43F77" w:rsidRDefault="00C43F77" w:rsidP="00C43F77">
      <w:pPr>
        <w:spacing w:after="0" w:line="240" w:lineRule="auto"/>
        <w:rPr>
          <w:rFonts w:cstheme="minorHAnsi"/>
          <w:b/>
          <w:u w:val="single"/>
        </w:rPr>
      </w:pPr>
      <w:r w:rsidRPr="00C43F77">
        <w:rPr>
          <w:rFonts w:cstheme="minorHAnsi"/>
          <w:b/>
          <w:u w:val="single"/>
        </w:rPr>
        <w:t>Course Description:</w:t>
      </w:r>
    </w:p>
    <w:p w14:paraId="306CE3EE" w14:textId="77777777" w:rsidR="00C43F77" w:rsidRPr="00C43F77" w:rsidRDefault="00C43F77" w:rsidP="00C43F77">
      <w:pPr>
        <w:spacing w:after="0" w:line="240" w:lineRule="auto"/>
        <w:rPr>
          <w:rFonts w:cstheme="minorHAnsi"/>
        </w:rPr>
      </w:pPr>
      <w:r w:rsidRPr="00C43F77">
        <w:rPr>
          <w:rFonts w:cstheme="minorHAnsi"/>
        </w:rPr>
        <w:t xml:space="preserve">This course explores the </w:t>
      </w:r>
      <w:r w:rsidR="0078216B">
        <w:rPr>
          <w:rFonts w:cstheme="minorHAnsi"/>
        </w:rPr>
        <w:t xml:space="preserve">science and principles of logistics </w:t>
      </w:r>
      <w:r w:rsidR="005E137E">
        <w:rPr>
          <w:rFonts w:cstheme="minorHAnsi"/>
        </w:rPr>
        <w:t xml:space="preserve">from both </w:t>
      </w:r>
      <w:r w:rsidR="005E137E" w:rsidRPr="00C43F77">
        <w:rPr>
          <w:rFonts w:cstheme="minorHAnsi"/>
        </w:rPr>
        <w:t xml:space="preserve">private and non-profit </w:t>
      </w:r>
      <w:r w:rsidR="005E137E">
        <w:rPr>
          <w:rFonts w:cstheme="minorHAnsi"/>
        </w:rPr>
        <w:t xml:space="preserve">sector models, </w:t>
      </w:r>
      <w:r w:rsidR="0078216B">
        <w:rPr>
          <w:rFonts w:cstheme="minorHAnsi"/>
        </w:rPr>
        <w:t>as it applies to the field of disaster management, with</w:t>
      </w:r>
      <w:r w:rsidR="005E137E" w:rsidRPr="005E137E">
        <w:rPr>
          <w:rFonts w:ascii="Verdana" w:eastAsia="SimSun" w:hAnsi="Verdana" w:cs="Times New Roman"/>
          <w:sz w:val="18"/>
          <w:szCs w:val="18"/>
        </w:rPr>
        <w:t xml:space="preserve"> </w:t>
      </w:r>
      <w:r w:rsidR="005E137E" w:rsidRPr="005E137E">
        <w:rPr>
          <w:rFonts w:cstheme="minorHAnsi"/>
        </w:rPr>
        <w:t>the goal of helping academics and professionals develop knowledge and expertise in this area.</w:t>
      </w:r>
      <w:r w:rsidR="0078216B">
        <w:rPr>
          <w:rFonts w:cstheme="minorHAnsi"/>
        </w:rPr>
        <w:t xml:space="preserve"> </w:t>
      </w:r>
      <w:r w:rsidRPr="00C43F77">
        <w:rPr>
          <w:rFonts w:cstheme="minorHAnsi"/>
        </w:rPr>
        <w:t xml:space="preserve"> The course focuses on presenting cases and developing quantitative models in the area of humanitarian logistics</w:t>
      </w:r>
      <w:r w:rsidR="005E137E">
        <w:rPr>
          <w:rFonts w:cstheme="minorHAnsi"/>
        </w:rPr>
        <w:t xml:space="preserve"> in both international and North American scenarios</w:t>
      </w:r>
      <w:r w:rsidRPr="00C43F77">
        <w:rPr>
          <w:rFonts w:cstheme="minorHAnsi"/>
        </w:rPr>
        <w:t xml:space="preserve">. </w:t>
      </w:r>
    </w:p>
    <w:p w14:paraId="5C70FD2C" w14:textId="77777777" w:rsidR="00C43F77" w:rsidRDefault="00C43F77" w:rsidP="004C456F">
      <w:pPr>
        <w:spacing w:after="0" w:line="240" w:lineRule="auto"/>
        <w:rPr>
          <w:rFonts w:cstheme="minorHAnsi"/>
        </w:rPr>
      </w:pPr>
    </w:p>
    <w:p w14:paraId="75AD6769" w14:textId="7807D334" w:rsidR="004C456F" w:rsidRPr="008A52ED" w:rsidRDefault="004C456F" w:rsidP="004C456F">
      <w:pPr>
        <w:spacing w:after="0" w:line="240" w:lineRule="auto"/>
        <w:rPr>
          <w:rFonts w:cstheme="minorHAnsi"/>
        </w:rPr>
      </w:pPr>
      <w:r w:rsidRPr="004C456F">
        <w:rPr>
          <w:rFonts w:cstheme="minorHAnsi"/>
          <w:b/>
          <w:u w:val="single"/>
        </w:rPr>
        <w:t>Text</w:t>
      </w:r>
      <w:r w:rsidR="008A52ED">
        <w:rPr>
          <w:rFonts w:cstheme="minorHAnsi"/>
          <w:b/>
          <w:u w:val="single"/>
        </w:rPr>
        <w:t>:</w:t>
      </w:r>
      <w:r w:rsidR="008A52ED">
        <w:rPr>
          <w:rFonts w:cstheme="minorHAnsi"/>
          <w:b/>
        </w:rPr>
        <w:t xml:space="preserve"> </w:t>
      </w:r>
      <w:r w:rsidR="008A52ED">
        <w:rPr>
          <w:rFonts w:cstheme="minorHAnsi"/>
        </w:rPr>
        <w:t xml:space="preserve"> There is no text for this course.  Readings </w:t>
      </w:r>
      <w:r w:rsidR="00052071">
        <w:rPr>
          <w:rFonts w:cstheme="minorHAnsi"/>
        </w:rPr>
        <w:t>are</w:t>
      </w:r>
      <w:r w:rsidR="008A52ED">
        <w:rPr>
          <w:rFonts w:cstheme="minorHAnsi"/>
        </w:rPr>
        <w:t xml:space="preserve"> provided for each Topic</w:t>
      </w:r>
    </w:p>
    <w:p w14:paraId="18650C9A" w14:textId="77777777" w:rsidR="004C456F" w:rsidRPr="004C456F" w:rsidRDefault="004C456F" w:rsidP="004C456F">
      <w:pPr>
        <w:spacing w:after="0" w:line="240" w:lineRule="auto"/>
        <w:rPr>
          <w:rFonts w:cstheme="minorHAnsi"/>
          <w:b/>
          <w:u w:val="single"/>
        </w:rPr>
      </w:pPr>
    </w:p>
    <w:p w14:paraId="77A12152" w14:textId="73051A65" w:rsidR="004C456F" w:rsidRPr="008A52ED" w:rsidRDefault="004C456F" w:rsidP="004C456F">
      <w:pPr>
        <w:spacing w:after="0"/>
        <w:rPr>
          <w:rFonts w:cstheme="minorHAnsi"/>
        </w:rPr>
      </w:pPr>
      <w:r w:rsidRPr="004C456F">
        <w:rPr>
          <w:rFonts w:cstheme="minorHAnsi"/>
          <w:b/>
          <w:u w:val="single"/>
        </w:rPr>
        <w:t>Articles</w:t>
      </w:r>
      <w:r w:rsidR="008A52ED">
        <w:rPr>
          <w:rFonts w:cstheme="minorHAnsi"/>
          <w:b/>
          <w:u w:val="single"/>
        </w:rPr>
        <w:t>:</w:t>
      </w:r>
      <w:r w:rsidR="008A52ED">
        <w:rPr>
          <w:rFonts w:cstheme="minorHAnsi"/>
        </w:rPr>
        <w:t xml:space="preserve">  Articles may be added or substituted prior to the start of the course.  </w:t>
      </w:r>
      <w:r w:rsidR="00052071">
        <w:rPr>
          <w:rFonts w:cstheme="minorHAnsi"/>
        </w:rPr>
        <w:t>Additional a</w:t>
      </w:r>
      <w:r w:rsidR="008A52ED">
        <w:rPr>
          <w:rFonts w:cstheme="minorHAnsi"/>
        </w:rPr>
        <w:t xml:space="preserve">rticles will be provided on </w:t>
      </w:r>
      <w:r w:rsidR="00714FD5">
        <w:rPr>
          <w:rFonts w:cstheme="minorHAnsi"/>
        </w:rPr>
        <w:t>Moodle</w:t>
      </w:r>
    </w:p>
    <w:p w14:paraId="7B883B86" w14:textId="77777777" w:rsidR="004C456F" w:rsidRDefault="004C456F" w:rsidP="004C456F">
      <w:pPr>
        <w:spacing w:after="0"/>
        <w:rPr>
          <w:rFonts w:cstheme="minorHAnsi"/>
        </w:rPr>
      </w:pPr>
    </w:p>
    <w:p w14:paraId="346083E2" w14:textId="77777777" w:rsidR="00381D75" w:rsidRPr="00C43F77" w:rsidRDefault="00381D75" w:rsidP="00C43F77">
      <w:pPr>
        <w:spacing w:after="0" w:line="240" w:lineRule="auto"/>
        <w:rPr>
          <w:rFonts w:cstheme="minorHAnsi"/>
          <w:b/>
          <w:u w:val="single"/>
        </w:rPr>
      </w:pPr>
      <w:r w:rsidRPr="00C43F77">
        <w:rPr>
          <w:rFonts w:cstheme="minorHAnsi"/>
          <w:b/>
          <w:u w:val="single"/>
        </w:rPr>
        <w:t>Marking scheme</w:t>
      </w:r>
    </w:p>
    <w:p w14:paraId="75B046D8" w14:textId="4E5D0E2E" w:rsidR="00381D75" w:rsidRDefault="00DA11F0" w:rsidP="00C43F77">
      <w:pPr>
        <w:spacing w:after="0" w:line="240" w:lineRule="auto"/>
        <w:rPr>
          <w:rFonts w:cstheme="minorHAnsi"/>
        </w:rPr>
      </w:pPr>
      <w:r>
        <w:rPr>
          <w:rFonts w:cstheme="minorHAnsi"/>
        </w:rPr>
        <w:t>2</w:t>
      </w:r>
      <w:r w:rsidR="00381D75" w:rsidRPr="0095643D">
        <w:rPr>
          <w:rFonts w:cstheme="minorHAnsi"/>
        </w:rPr>
        <w:t>0% - participation</w:t>
      </w:r>
      <w:r w:rsidR="00416828">
        <w:rPr>
          <w:rFonts w:cstheme="minorHAnsi"/>
        </w:rPr>
        <w:t xml:space="preserve"> (</w:t>
      </w:r>
      <w:r>
        <w:rPr>
          <w:rFonts w:cstheme="minorHAnsi"/>
        </w:rPr>
        <w:t>assessed based on online participation in both zoom sessions</w:t>
      </w:r>
      <w:r w:rsidR="003F59E0">
        <w:rPr>
          <w:rFonts w:cstheme="minorHAnsi"/>
        </w:rPr>
        <w:t xml:space="preserve"> </w:t>
      </w:r>
      <w:r>
        <w:rPr>
          <w:rFonts w:cstheme="minorHAnsi"/>
        </w:rPr>
        <w:t>and the online discussions</w:t>
      </w:r>
      <w:r w:rsidR="00416828">
        <w:rPr>
          <w:rFonts w:cstheme="minorHAnsi"/>
        </w:rPr>
        <w:t>)</w:t>
      </w:r>
    </w:p>
    <w:p w14:paraId="62F5CD81" w14:textId="20FC5B6F" w:rsidR="00052071" w:rsidRPr="0095643D" w:rsidRDefault="00052071" w:rsidP="00C43F77">
      <w:pPr>
        <w:spacing w:after="0" w:line="240" w:lineRule="auto"/>
        <w:rPr>
          <w:rFonts w:cstheme="minorHAnsi"/>
        </w:rPr>
      </w:pPr>
      <w:r>
        <w:rPr>
          <w:rFonts w:cstheme="minorHAnsi"/>
        </w:rPr>
        <w:t>20% - In class group work</w:t>
      </w:r>
    </w:p>
    <w:p w14:paraId="7CA4C90D" w14:textId="11169608" w:rsidR="00381D75" w:rsidRPr="0095643D" w:rsidRDefault="0034004E" w:rsidP="00381D75">
      <w:pPr>
        <w:spacing w:after="0" w:line="240" w:lineRule="auto"/>
        <w:rPr>
          <w:rFonts w:cstheme="minorHAnsi"/>
        </w:rPr>
      </w:pPr>
      <w:r>
        <w:rPr>
          <w:rFonts w:cstheme="minorHAnsi"/>
        </w:rPr>
        <w:t>3</w:t>
      </w:r>
      <w:r w:rsidR="00381D75" w:rsidRPr="0095643D">
        <w:rPr>
          <w:rFonts w:cstheme="minorHAnsi"/>
        </w:rPr>
        <w:t xml:space="preserve">0% - Individual case study </w:t>
      </w:r>
      <w:r w:rsidR="00416828">
        <w:rPr>
          <w:rFonts w:cstheme="minorHAnsi"/>
        </w:rPr>
        <w:t xml:space="preserve">(Due </w:t>
      </w:r>
      <w:r w:rsidR="00052071">
        <w:rPr>
          <w:rFonts w:cstheme="minorHAnsi"/>
        </w:rPr>
        <w:t>1</w:t>
      </w:r>
      <w:r w:rsidR="00416828">
        <w:rPr>
          <w:rFonts w:cstheme="minorHAnsi"/>
        </w:rPr>
        <w:t xml:space="preserve"> </w:t>
      </w:r>
      <w:r w:rsidR="00082C22">
        <w:rPr>
          <w:rFonts w:cstheme="minorHAnsi"/>
        </w:rPr>
        <w:t>M</w:t>
      </w:r>
      <w:r w:rsidR="00416828">
        <w:rPr>
          <w:rFonts w:cstheme="minorHAnsi"/>
        </w:rPr>
        <w:t xml:space="preserve">ar 20) </w:t>
      </w:r>
      <w:r w:rsidR="00381D75" w:rsidRPr="0095643D">
        <w:rPr>
          <w:rFonts w:cstheme="minorHAnsi"/>
        </w:rPr>
        <w:t xml:space="preserve">– </w:t>
      </w:r>
      <w:proofErr w:type="gramStart"/>
      <w:r w:rsidR="00016253">
        <w:rPr>
          <w:rFonts w:cstheme="minorHAnsi"/>
        </w:rPr>
        <w:t>3000</w:t>
      </w:r>
      <w:r w:rsidR="00381D75" w:rsidRPr="0095643D">
        <w:rPr>
          <w:rFonts w:cstheme="minorHAnsi"/>
        </w:rPr>
        <w:t xml:space="preserve"> word</w:t>
      </w:r>
      <w:proofErr w:type="gramEnd"/>
      <w:r w:rsidR="00381D75" w:rsidRPr="0095643D">
        <w:rPr>
          <w:rFonts w:cstheme="minorHAnsi"/>
        </w:rPr>
        <w:t xml:space="preserve"> essay</w:t>
      </w:r>
      <w:r w:rsidR="004D1023" w:rsidRPr="0095643D">
        <w:rPr>
          <w:rFonts w:cstheme="minorHAnsi"/>
        </w:rPr>
        <w:t xml:space="preserve"> – critique of logistics response in a disaster from list of case studies </w:t>
      </w:r>
    </w:p>
    <w:p w14:paraId="58C1F826" w14:textId="43A32731" w:rsidR="00381D75" w:rsidRPr="0095643D" w:rsidRDefault="0034004E" w:rsidP="00381D75">
      <w:pPr>
        <w:spacing w:after="0" w:line="240" w:lineRule="auto"/>
        <w:rPr>
          <w:rFonts w:cstheme="minorHAnsi"/>
        </w:rPr>
      </w:pPr>
      <w:r>
        <w:rPr>
          <w:rFonts w:cstheme="minorHAnsi"/>
        </w:rPr>
        <w:t>3</w:t>
      </w:r>
      <w:r w:rsidR="00381D75" w:rsidRPr="0095643D">
        <w:rPr>
          <w:rFonts w:cstheme="minorHAnsi"/>
        </w:rPr>
        <w:t xml:space="preserve">0% - </w:t>
      </w:r>
      <w:r w:rsidR="00DA11F0">
        <w:rPr>
          <w:rFonts w:cstheme="minorHAnsi"/>
        </w:rPr>
        <w:t>Final Exam – this will be a long answer format examination</w:t>
      </w:r>
      <w:r w:rsidR="00416828">
        <w:rPr>
          <w:rFonts w:cstheme="minorHAnsi"/>
        </w:rPr>
        <w:t>.</w:t>
      </w:r>
      <w:r w:rsidR="00DA11F0">
        <w:rPr>
          <w:rFonts w:cstheme="minorHAnsi"/>
        </w:rPr>
        <w:t xml:space="preserve">  </w:t>
      </w:r>
    </w:p>
    <w:p w14:paraId="2459B089" w14:textId="77777777" w:rsidR="00273872" w:rsidRDefault="00273872" w:rsidP="00273872">
      <w:pPr>
        <w:spacing w:after="0"/>
        <w:rPr>
          <w:rFonts w:cstheme="minorHAnsi"/>
          <w:b/>
          <w:u w:val="single"/>
        </w:rPr>
      </w:pPr>
    </w:p>
    <w:p w14:paraId="1FD62C5F" w14:textId="77777777" w:rsidR="0033317F" w:rsidRPr="00273872" w:rsidRDefault="00587B5D" w:rsidP="00273872">
      <w:pPr>
        <w:spacing w:after="0"/>
        <w:rPr>
          <w:rFonts w:cstheme="minorHAnsi"/>
          <w:b/>
          <w:u w:val="single"/>
        </w:rPr>
      </w:pPr>
      <w:r w:rsidRPr="00273872">
        <w:rPr>
          <w:rFonts w:cstheme="minorHAnsi"/>
          <w:b/>
          <w:u w:val="single"/>
        </w:rPr>
        <w:t>Lesson Plan</w:t>
      </w:r>
    </w:p>
    <w:tbl>
      <w:tblPr>
        <w:tblStyle w:val="TableGrid"/>
        <w:tblW w:w="0" w:type="auto"/>
        <w:tblLook w:val="04A0" w:firstRow="1" w:lastRow="0" w:firstColumn="1" w:lastColumn="0" w:noHBand="0" w:noVBand="1"/>
      </w:tblPr>
      <w:tblGrid>
        <w:gridCol w:w="1278"/>
        <w:gridCol w:w="1260"/>
        <w:gridCol w:w="4644"/>
        <w:gridCol w:w="2394"/>
      </w:tblGrid>
      <w:tr w:rsidR="00587B5D" w:rsidRPr="0095643D" w14:paraId="40342DED" w14:textId="77777777" w:rsidTr="00587B5D">
        <w:tc>
          <w:tcPr>
            <w:tcW w:w="1278" w:type="dxa"/>
          </w:tcPr>
          <w:p w14:paraId="7670FF9E" w14:textId="77777777" w:rsidR="00587B5D" w:rsidRPr="0095643D" w:rsidRDefault="00587B5D" w:rsidP="00587B5D">
            <w:pPr>
              <w:jc w:val="center"/>
              <w:rPr>
                <w:rFonts w:cstheme="minorHAnsi"/>
              </w:rPr>
            </w:pPr>
            <w:r w:rsidRPr="0095643D">
              <w:rPr>
                <w:rFonts w:cstheme="minorHAnsi"/>
              </w:rPr>
              <w:t>Lesson</w:t>
            </w:r>
          </w:p>
        </w:tc>
        <w:tc>
          <w:tcPr>
            <w:tcW w:w="1260" w:type="dxa"/>
          </w:tcPr>
          <w:p w14:paraId="680B38B2" w14:textId="77777777" w:rsidR="00587B5D" w:rsidRPr="0095643D" w:rsidRDefault="00587B5D" w:rsidP="00587B5D">
            <w:pPr>
              <w:jc w:val="center"/>
              <w:rPr>
                <w:rFonts w:cstheme="minorHAnsi"/>
              </w:rPr>
            </w:pPr>
            <w:r w:rsidRPr="0095643D">
              <w:rPr>
                <w:rFonts w:cstheme="minorHAnsi"/>
              </w:rPr>
              <w:t>Week</w:t>
            </w:r>
          </w:p>
        </w:tc>
        <w:tc>
          <w:tcPr>
            <w:tcW w:w="4644" w:type="dxa"/>
          </w:tcPr>
          <w:p w14:paraId="118AFEE0" w14:textId="77777777" w:rsidR="00587B5D" w:rsidRPr="0095643D" w:rsidRDefault="00587B5D" w:rsidP="00587B5D">
            <w:pPr>
              <w:jc w:val="center"/>
              <w:rPr>
                <w:rFonts w:cstheme="minorHAnsi"/>
              </w:rPr>
            </w:pPr>
            <w:r w:rsidRPr="0095643D">
              <w:rPr>
                <w:rFonts w:cstheme="minorHAnsi"/>
              </w:rPr>
              <w:t>Topic</w:t>
            </w:r>
          </w:p>
        </w:tc>
        <w:tc>
          <w:tcPr>
            <w:tcW w:w="2394" w:type="dxa"/>
          </w:tcPr>
          <w:p w14:paraId="1C6094AB" w14:textId="77777777" w:rsidR="00587B5D" w:rsidRPr="0095643D" w:rsidRDefault="00587B5D" w:rsidP="00587B5D">
            <w:pPr>
              <w:jc w:val="center"/>
              <w:rPr>
                <w:rFonts w:cstheme="minorHAnsi"/>
              </w:rPr>
            </w:pPr>
            <w:r w:rsidRPr="0095643D">
              <w:rPr>
                <w:rFonts w:cstheme="minorHAnsi"/>
              </w:rPr>
              <w:t>Notes</w:t>
            </w:r>
          </w:p>
        </w:tc>
      </w:tr>
      <w:tr w:rsidR="00587B5D" w:rsidRPr="0095643D" w14:paraId="5F3D9F0A" w14:textId="77777777" w:rsidTr="00587B5D">
        <w:tc>
          <w:tcPr>
            <w:tcW w:w="1278" w:type="dxa"/>
          </w:tcPr>
          <w:p w14:paraId="2CD2B3B7" w14:textId="77777777" w:rsidR="00587B5D" w:rsidRPr="0095643D" w:rsidRDefault="00587B5D" w:rsidP="00587B5D">
            <w:pPr>
              <w:jc w:val="center"/>
              <w:rPr>
                <w:rFonts w:cstheme="minorHAnsi"/>
              </w:rPr>
            </w:pPr>
            <w:r w:rsidRPr="0095643D">
              <w:rPr>
                <w:rFonts w:cstheme="minorHAnsi"/>
              </w:rPr>
              <w:t>1</w:t>
            </w:r>
          </w:p>
        </w:tc>
        <w:tc>
          <w:tcPr>
            <w:tcW w:w="1260" w:type="dxa"/>
          </w:tcPr>
          <w:p w14:paraId="2A454C6C" w14:textId="57E4CDE7" w:rsidR="00587B5D" w:rsidRPr="0095643D" w:rsidRDefault="00E5513C" w:rsidP="00587B5D">
            <w:pPr>
              <w:jc w:val="center"/>
              <w:rPr>
                <w:rFonts w:cstheme="minorHAnsi"/>
              </w:rPr>
            </w:pPr>
            <w:r>
              <w:rPr>
                <w:rFonts w:cstheme="minorHAnsi"/>
              </w:rPr>
              <w:t>11</w:t>
            </w:r>
            <w:r w:rsidR="005357F1">
              <w:rPr>
                <w:rFonts w:cstheme="minorHAnsi"/>
              </w:rPr>
              <w:t xml:space="preserve"> Jan 2</w:t>
            </w:r>
            <w:r>
              <w:rPr>
                <w:rFonts w:cstheme="minorHAnsi"/>
              </w:rPr>
              <w:t>1</w:t>
            </w:r>
          </w:p>
        </w:tc>
        <w:tc>
          <w:tcPr>
            <w:tcW w:w="4644" w:type="dxa"/>
          </w:tcPr>
          <w:p w14:paraId="3F919603" w14:textId="77777777" w:rsidR="00587B5D" w:rsidRDefault="00587B5D" w:rsidP="00587B5D">
            <w:pPr>
              <w:rPr>
                <w:rFonts w:cstheme="minorHAnsi"/>
              </w:rPr>
            </w:pPr>
            <w:r w:rsidRPr="0095643D">
              <w:rPr>
                <w:rFonts w:cstheme="minorHAnsi"/>
              </w:rPr>
              <w:t>Introduction to Logistics – Examine concepts and applications of logistics on a broader perspective</w:t>
            </w:r>
            <w:r w:rsidR="005E137E">
              <w:rPr>
                <w:rFonts w:cstheme="minorHAnsi"/>
              </w:rPr>
              <w:t>.  Examine scales and differences between private and non-private sectors.</w:t>
            </w:r>
          </w:p>
          <w:p w14:paraId="4F34D591" w14:textId="77777777" w:rsidR="008A52ED" w:rsidRDefault="008A52ED" w:rsidP="00587B5D">
            <w:pPr>
              <w:rPr>
                <w:rFonts w:cstheme="minorHAnsi"/>
              </w:rPr>
            </w:pPr>
          </w:p>
          <w:p w14:paraId="38F20BC5" w14:textId="77777777" w:rsidR="008A52ED" w:rsidRPr="0095643D" w:rsidRDefault="008A52ED" w:rsidP="00587B5D">
            <w:pPr>
              <w:rPr>
                <w:rFonts w:cstheme="minorHAnsi"/>
              </w:rPr>
            </w:pPr>
            <w:r>
              <w:rPr>
                <w:rFonts w:cstheme="minorHAnsi"/>
              </w:rPr>
              <w:t>Readings:</w:t>
            </w:r>
            <w:r w:rsidR="0026518A">
              <w:rPr>
                <w:rFonts w:cstheme="minorHAnsi"/>
              </w:rPr>
              <w:t xml:space="preserve"> Larson, Paul D, (2018), Process Improvement: a matter of life or death for non-governmental organizations,  </w:t>
            </w:r>
            <w:r w:rsidR="0026518A">
              <w:rPr>
                <w:rFonts w:cstheme="minorHAnsi"/>
                <w:i/>
              </w:rPr>
              <w:t xml:space="preserve">Humanitarian </w:t>
            </w:r>
            <w:r w:rsidR="0026518A" w:rsidRPr="00DF072F">
              <w:rPr>
                <w:rFonts w:cstheme="minorHAnsi"/>
                <w:i/>
              </w:rPr>
              <w:t>Logistics: Meeting the Challenge of Preparing For and</w:t>
            </w:r>
            <w:r w:rsidR="0026518A">
              <w:rPr>
                <w:rFonts w:cstheme="minorHAnsi"/>
                <w:i/>
              </w:rPr>
              <w:t xml:space="preserve"> Responding to Disasters</w:t>
            </w:r>
            <w:r w:rsidR="0026518A">
              <w:rPr>
                <w:rFonts w:cstheme="minorHAnsi"/>
              </w:rPr>
              <w:t>, 3</w:t>
            </w:r>
            <w:r w:rsidR="0026518A" w:rsidRPr="00DF072F">
              <w:rPr>
                <w:rFonts w:cstheme="minorHAnsi"/>
                <w:vertAlign w:val="superscript"/>
              </w:rPr>
              <w:t>rd</w:t>
            </w:r>
            <w:r w:rsidR="0026518A">
              <w:rPr>
                <w:rFonts w:cstheme="minorHAnsi"/>
              </w:rPr>
              <w:t xml:space="preserve"> Edition, Kogan Page, London U.K. 2018, Chapter 1, PP 19-40</w:t>
            </w:r>
          </w:p>
        </w:tc>
        <w:tc>
          <w:tcPr>
            <w:tcW w:w="2394" w:type="dxa"/>
          </w:tcPr>
          <w:p w14:paraId="38BA5437" w14:textId="25702D83" w:rsidR="00587B5D" w:rsidRPr="0095643D" w:rsidRDefault="00587B5D" w:rsidP="00587B5D">
            <w:pPr>
              <w:jc w:val="center"/>
              <w:rPr>
                <w:rFonts w:cstheme="minorHAnsi"/>
              </w:rPr>
            </w:pPr>
            <w:r w:rsidRPr="0095643D">
              <w:rPr>
                <w:rFonts w:cstheme="minorHAnsi"/>
              </w:rPr>
              <w:t xml:space="preserve">Assignment of Case Study - due in week </w:t>
            </w:r>
            <w:r w:rsidR="00052071">
              <w:rPr>
                <w:rFonts w:cstheme="minorHAnsi"/>
              </w:rPr>
              <w:t>7</w:t>
            </w:r>
          </w:p>
        </w:tc>
      </w:tr>
      <w:tr w:rsidR="00587B5D" w:rsidRPr="0095643D" w14:paraId="0780642D" w14:textId="77777777" w:rsidTr="00587B5D">
        <w:tc>
          <w:tcPr>
            <w:tcW w:w="1278" w:type="dxa"/>
          </w:tcPr>
          <w:p w14:paraId="5A0B3366" w14:textId="77777777" w:rsidR="00587B5D" w:rsidRPr="0095643D" w:rsidRDefault="00587B5D" w:rsidP="00587B5D">
            <w:pPr>
              <w:jc w:val="center"/>
              <w:rPr>
                <w:rFonts w:cstheme="minorHAnsi"/>
              </w:rPr>
            </w:pPr>
            <w:r w:rsidRPr="0095643D">
              <w:rPr>
                <w:rFonts w:cstheme="minorHAnsi"/>
              </w:rPr>
              <w:t>2</w:t>
            </w:r>
          </w:p>
        </w:tc>
        <w:tc>
          <w:tcPr>
            <w:tcW w:w="1260" w:type="dxa"/>
          </w:tcPr>
          <w:p w14:paraId="7ABFB80D" w14:textId="59F2680E" w:rsidR="00587B5D" w:rsidRPr="0095643D" w:rsidRDefault="005357F1" w:rsidP="00587B5D">
            <w:pPr>
              <w:jc w:val="center"/>
              <w:rPr>
                <w:rFonts w:cstheme="minorHAnsi"/>
              </w:rPr>
            </w:pPr>
            <w:r>
              <w:rPr>
                <w:rFonts w:cstheme="minorHAnsi"/>
              </w:rPr>
              <w:t>1</w:t>
            </w:r>
            <w:r w:rsidR="00E5513C">
              <w:rPr>
                <w:rFonts w:cstheme="minorHAnsi"/>
              </w:rPr>
              <w:t>8</w:t>
            </w:r>
            <w:r>
              <w:rPr>
                <w:rFonts w:cstheme="minorHAnsi"/>
              </w:rPr>
              <w:t xml:space="preserve"> Jan 2</w:t>
            </w:r>
            <w:r w:rsidR="00E5513C">
              <w:rPr>
                <w:rFonts w:cstheme="minorHAnsi"/>
              </w:rPr>
              <w:t>1</w:t>
            </w:r>
          </w:p>
        </w:tc>
        <w:tc>
          <w:tcPr>
            <w:tcW w:w="4644" w:type="dxa"/>
          </w:tcPr>
          <w:p w14:paraId="2804CF6C" w14:textId="77777777" w:rsidR="00587B5D" w:rsidRDefault="00587B5D" w:rsidP="00587B5D">
            <w:pPr>
              <w:rPr>
                <w:rFonts w:cstheme="minorHAnsi"/>
              </w:rPr>
            </w:pPr>
            <w:r w:rsidRPr="0095643D">
              <w:rPr>
                <w:rFonts w:cstheme="minorHAnsi"/>
              </w:rPr>
              <w:t xml:space="preserve">Requirements of the impacted community – humanitarian requirements outside of the North American / European Sphere – use examples based on covered case studies and UN missions e.g. Haiti, </w:t>
            </w:r>
            <w:r w:rsidR="0078216B" w:rsidRPr="0095643D">
              <w:rPr>
                <w:rFonts w:cstheme="minorHAnsi"/>
              </w:rPr>
              <w:t>Philippines</w:t>
            </w:r>
            <w:r w:rsidR="00D9512F" w:rsidRPr="0095643D">
              <w:rPr>
                <w:rFonts w:cstheme="minorHAnsi"/>
              </w:rPr>
              <w:t xml:space="preserve"> – Quantitative assessments </w:t>
            </w:r>
            <w:r w:rsidR="00D9512F" w:rsidRPr="0095643D">
              <w:rPr>
                <w:rFonts w:cstheme="minorHAnsi"/>
              </w:rPr>
              <w:lastRenderedPageBreak/>
              <w:t>of requirements for large groups</w:t>
            </w:r>
          </w:p>
          <w:p w14:paraId="5B963015" w14:textId="77777777" w:rsidR="008A52ED" w:rsidRDefault="008A52ED" w:rsidP="00587B5D">
            <w:pPr>
              <w:rPr>
                <w:rFonts w:cstheme="minorHAnsi"/>
              </w:rPr>
            </w:pPr>
          </w:p>
          <w:p w14:paraId="6E4E9048" w14:textId="6D3B3F67" w:rsidR="008A52ED" w:rsidRPr="00E62261" w:rsidRDefault="008A52ED" w:rsidP="00DF072F">
            <w:pPr>
              <w:rPr>
                <w:rFonts w:cstheme="minorHAnsi"/>
              </w:rPr>
            </w:pPr>
            <w:r>
              <w:rPr>
                <w:rFonts w:cstheme="minorHAnsi"/>
              </w:rPr>
              <w:t>Readings:</w:t>
            </w:r>
            <w:r w:rsidR="00DF072F">
              <w:rPr>
                <w:rFonts w:cstheme="minorHAnsi"/>
              </w:rPr>
              <w:t xml:space="preserve"> </w:t>
            </w:r>
            <w:r w:rsidR="00416828">
              <w:rPr>
                <w:rFonts w:cstheme="minorHAnsi"/>
              </w:rPr>
              <w:t xml:space="preserve"> </w:t>
            </w:r>
            <w:r w:rsidR="00416828" w:rsidRPr="00416828">
              <w:rPr>
                <w:rFonts w:cstheme="minorHAnsi"/>
              </w:rPr>
              <w:t xml:space="preserve">Altay, </w:t>
            </w:r>
            <w:proofErr w:type="spellStart"/>
            <w:r w:rsidR="00416828" w:rsidRPr="00416828">
              <w:rPr>
                <w:rFonts w:cstheme="minorHAnsi"/>
              </w:rPr>
              <w:t>Nezih</w:t>
            </w:r>
            <w:proofErr w:type="spellEnd"/>
            <w:r w:rsidR="00416828" w:rsidRPr="00416828">
              <w:rPr>
                <w:rFonts w:cstheme="minorHAnsi"/>
              </w:rPr>
              <w:t xml:space="preserve"> &amp; Prasad, Sameer &amp; </w:t>
            </w:r>
            <w:proofErr w:type="spellStart"/>
            <w:r w:rsidR="00416828" w:rsidRPr="00416828">
              <w:rPr>
                <w:rFonts w:cstheme="minorHAnsi"/>
              </w:rPr>
              <w:t>Sounderpandian</w:t>
            </w:r>
            <w:proofErr w:type="spellEnd"/>
            <w:r w:rsidR="00416828" w:rsidRPr="00416828">
              <w:rPr>
                <w:rFonts w:cstheme="minorHAnsi"/>
              </w:rPr>
              <w:t xml:space="preserve">, </w:t>
            </w:r>
            <w:proofErr w:type="spellStart"/>
            <w:r w:rsidR="00416828" w:rsidRPr="00416828">
              <w:rPr>
                <w:rFonts w:cstheme="minorHAnsi"/>
              </w:rPr>
              <w:t>Jayavel</w:t>
            </w:r>
            <w:proofErr w:type="spellEnd"/>
            <w:r w:rsidR="00416828" w:rsidRPr="00416828">
              <w:rPr>
                <w:rFonts w:cstheme="minorHAnsi"/>
              </w:rPr>
              <w:t xml:space="preserve">. (2009). Strategic planning for disaster relief logistics: Lessons from supply chain management. International Journal of Services Sciences - Int J Serv Sci. 2. </w:t>
            </w:r>
            <w:r w:rsidR="004A44F4">
              <w:rPr>
                <w:rFonts w:cstheme="minorHAnsi"/>
              </w:rPr>
              <w:t xml:space="preserve">PP 142-161 </w:t>
            </w:r>
            <w:r w:rsidR="00416828" w:rsidRPr="00416828">
              <w:rPr>
                <w:rFonts w:cstheme="minorHAnsi"/>
              </w:rPr>
              <w:t xml:space="preserve">10.1504/IJSSCI.2009.024937. </w:t>
            </w:r>
            <w:r w:rsidR="00416828">
              <w:rPr>
                <w:rFonts w:cstheme="minorHAnsi"/>
              </w:rPr>
              <w:t xml:space="preserve"> </w:t>
            </w:r>
          </w:p>
        </w:tc>
        <w:tc>
          <w:tcPr>
            <w:tcW w:w="2394" w:type="dxa"/>
          </w:tcPr>
          <w:p w14:paraId="57021F87" w14:textId="057DFB31" w:rsidR="00587B5D" w:rsidRPr="0095643D" w:rsidRDefault="00587B5D" w:rsidP="00B7687D">
            <w:pPr>
              <w:jc w:val="center"/>
              <w:rPr>
                <w:rFonts w:cstheme="minorHAnsi"/>
              </w:rPr>
            </w:pPr>
          </w:p>
        </w:tc>
      </w:tr>
      <w:tr w:rsidR="00587B5D" w:rsidRPr="0095643D" w14:paraId="3B2A04CA" w14:textId="77777777" w:rsidTr="00587B5D">
        <w:tc>
          <w:tcPr>
            <w:tcW w:w="1278" w:type="dxa"/>
          </w:tcPr>
          <w:p w14:paraId="638FB590" w14:textId="77777777" w:rsidR="00587B5D" w:rsidRPr="0095643D" w:rsidRDefault="00587B5D" w:rsidP="00587B5D">
            <w:pPr>
              <w:jc w:val="center"/>
              <w:rPr>
                <w:rFonts w:cstheme="minorHAnsi"/>
              </w:rPr>
            </w:pPr>
            <w:r w:rsidRPr="0095643D">
              <w:rPr>
                <w:rFonts w:cstheme="minorHAnsi"/>
              </w:rPr>
              <w:t>3</w:t>
            </w:r>
          </w:p>
        </w:tc>
        <w:tc>
          <w:tcPr>
            <w:tcW w:w="1260" w:type="dxa"/>
          </w:tcPr>
          <w:p w14:paraId="1B353D64" w14:textId="4EE42BB4" w:rsidR="00587B5D" w:rsidRPr="0095643D" w:rsidRDefault="005357F1" w:rsidP="00587B5D">
            <w:pPr>
              <w:jc w:val="center"/>
              <w:rPr>
                <w:rFonts w:cstheme="minorHAnsi"/>
              </w:rPr>
            </w:pPr>
            <w:r>
              <w:rPr>
                <w:rFonts w:cstheme="minorHAnsi"/>
              </w:rPr>
              <w:t>2</w:t>
            </w:r>
            <w:r w:rsidR="00E5513C">
              <w:rPr>
                <w:rFonts w:cstheme="minorHAnsi"/>
              </w:rPr>
              <w:t>5</w:t>
            </w:r>
            <w:r>
              <w:rPr>
                <w:rFonts w:cstheme="minorHAnsi"/>
              </w:rPr>
              <w:t xml:space="preserve"> Jan 2</w:t>
            </w:r>
            <w:r w:rsidR="00E5513C">
              <w:rPr>
                <w:rFonts w:cstheme="minorHAnsi"/>
              </w:rPr>
              <w:t>1</w:t>
            </w:r>
            <w:r>
              <w:rPr>
                <w:rFonts w:cstheme="minorHAnsi"/>
              </w:rPr>
              <w:t xml:space="preserve"> </w:t>
            </w:r>
          </w:p>
        </w:tc>
        <w:tc>
          <w:tcPr>
            <w:tcW w:w="4644" w:type="dxa"/>
          </w:tcPr>
          <w:p w14:paraId="6480E444" w14:textId="77777777" w:rsidR="00587B5D" w:rsidRDefault="00587B5D" w:rsidP="0078216B">
            <w:pPr>
              <w:rPr>
                <w:rFonts w:cstheme="minorHAnsi"/>
              </w:rPr>
            </w:pPr>
            <w:r w:rsidRPr="0095643D">
              <w:rPr>
                <w:rFonts w:cstheme="minorHAnsi"/>
              </w:rPr>
              <w:t xml:space="preserve">Requirements of the impacted community  - humanitarian requirements inside the North American / European Sphere – use examples based on case studies / experience e.g. New Orleans, Fort McMurray, </w:t>
            </w:r>
            <w:proofErr w:type="spellStart"/>
            <w:r w:rsidRPr="0095643D">
              <w:rPr>
                <w:rFonts w:cstheme="minorHAnsi"/>
              </w:rPr>
              <w:t>Kashe</w:t>
            </w:r>
            <w:r w:rsidR="0078216B">
              <w:rPr>
                <w:rFonts w:cstheme="minorHAnsi"/>
              </w:rPr>
              <w:t>che</w:t>
            </w:r>
            <w:r w:rsidRPr="0095643D">
              <w:rPr>
                <w:rFonts w:cstheme="minorHAnsi"/>
              </w:rPr>
              <w:t>wan</w:t>
            </w:r>
            <w:proofErr w:type="spellEnd"/>
            <w:r w:rsidR="00D9512F" w:rsidRPr="0095643D">
              <w:rPr>
                <w:rFonts w:cstheme="minorHAnsi"/>
              </w:rPr>
              <w:t xml:space="preserve"> – quantitative assessments </w:t>
            </w:r>
            <w:r w:rsidR="005E137E">
              <w:rPr>
                <w:rFonts w:cstheme="minorHAnsi"/>
              </w:rPr>
              <w:t xml:space="preserve">of requirements </w:t>
            </w:r>
            <w:r w:rsidR="00D9512F" w:rsidRPr="0095643D">
              <w:rPr>
                <w:rFonts w:cstheme="minorHAnsi"/>
              </w:rPr>
              <w:t>for large groups</w:t>
            </w:r>
          </w:p>
          <w:p w14:paraId="3FC1F4B9" w14:textId="77777777" w:rsidR="008A52ED" w:rsidRDefault="008A52ED" w:rsidP="0078216B">
            <w:pPr>
              <w:rPr>
                <w:rFonts w:cstheme="minorHAnsi"/>
              </w:rPr>
            </w:pPr>
          </w:p>
          <w:p w14:paraId="0ED625E4" w14:textId="77777777" w:rsidR="008A52ED" w:rsidRDefault="008A52ED" w:rsidP="00B7687D">
            <w:pPr>
              <w:rPr>
                <w:rFonts w:cstheme="minorHAnsi"/>
              </w:rPr>
            </w:pPr>
            <w:r>
              <w:rPr>
                <w:rFonts w:cstheme="minorHAnsi"/>
              </w:rPr>
              <w:t>Readings:</w:t>
            </w:r>
            <w:r w:rsidR="00B7687D">
              <w:rPr>
                <w:rFonts w:cstheme="minorHAnsi"/>
              </w:rPr>
              <w:t xml:space="preserve"> </w:t>
            </w:r>
            <w:r w:rsidR="00B7687D" w:rsidRPr="00B7687D">
              <w:rPr>
                <w:rFonts w:cstheme="minorHAnsi"/>
              </w:rPr>
              <w:t xml:space="preserve">Shelley </w:t>
            </w:r>
            <w:proofErr w:type="spellStart"/>
            <w:r w:rsidR="00B7687D" w:rsidRPr="00B7687D">
              <w:rPr>
                <w:rFonts w:cstheme="minorHAnsi"/>
              </w:rPr>
              <w:t>Boulianne</w:t>
            </w:r>
            <w:proofErr w:type="spellEnd"/>
            <w:r w:rsidR="00B7687D" w:rsidRPr="00B7687D">
              <w:rPr>
                <w:rFonts w:cstheme="minorHAnsi"/>
              </w:rPr>
              <w:t xml:space="preserve">, Joanne Minaker &amp; Timothy J. Haney (2018) Does compassion go viral? Social media, caring, and the Fort McMurray </w:t>
            </w:r>
            <w:r w:rsidR="00B7687D">
              <w:rPr>
                <w:rFonts w:cstheme="minorHAnsi"/>
              </w:rPr>
              <w:t>w</w:t>
            </w:r>
            <w:r w:rsidR="00B7687D" w:rsidRPr="00B7687D">
              <w:rPr>
                <w:rFonts w:cstheme="minorHAnsi"/>
              </w:rPr>
              <w:t>ildfire, </w:t>
            </w:r>
            <w:r w:rsidR="00B7687D" w:rsidRPr="00B7687D">
              <w:rPr>
                <w:rFonts w:cstheme="minorHAnsi"/>
                <w:i/>
              </w:rPr>
              <w:t>Information, Communication &amp; Society</w:t>
            </w:r>
            <w:r w:rsidR="00B7687D" w:rsidRPr="00B7687D">
              <w:rPr>
                <w:rFonts w:cstheme="minorHAnsi"/>
              </w:rPr>
              <w:t>, 21:5, </w:t>
            </w:r>
            <w:r w:rsidR="00AF0312">
              <w:rPr>
                <w:rFonts w:cstheme="minorHAnsi"/>
              </w:rPr>
              <w:t xml:space="preserve">PP </w:t>
            </w:r>
            <w:r w:rsidR="00B7687D" w:rsidRPr="00B7687D">
              <w:rPr>
                <w:rFonts w:cstheme="minorHAnsi"/>
              </w:rPr>
              <w:t>697-711, DOI: </w:t>
            </w:r>
            <w:hyperlink r:id="rId5" w:history="1">
              <w:r w:rsidR="00B7687D" w:rsidRPr="00B7687D">
                <w:rPr>
                  <w:rStyle w:val="Hyperlink"/>
                  <w:rFonts w:cstheme="minorHAnsi"/>
                </w:rPr>
                <w:t>10.1080/1369118X.2018.1428651</w:t>
              </w:r>
            </w:hyperlink>
          </w:p>
          <w:p w14:paraId="487856A6" w14:textId="77777777" w:rsidR="008935C0" w:rsidRDefault="008935C0" w:rsidP="00B7687D">
            <w:pPr>
              <w:rPr>
                <w:rFonts w:cstheme="minorHAnsi"/>
              </w:rPr>
            </w:pPr>
          </w:p>
          <w:p w14:paraId="4BA0E855" w14:textId="77777777" w:rsidR="008935C0" w:rsidRDefault="008935C0" w:rsidP="00F71AC7">
            <w:pPr>
              <w:rPr>
                <w:rFonts w:cstheme="minorHAnsi"/>
              </w:rPr>
            </w:pPr>
            <w:r w:rsidRPr="008935C0">
              <w:rPr>
                <w:rFonts w:cstheme="minorHAnsi"/>
              </w:rPr>
              <w:t xml:space="preserve">Jennifer </w:t>
            </w:r>
            <w:proofErr w:type="spellStart"/>
            <w:r w:rsidRPr="008935C0">
              <w:rPr>
                <w:rFonts w:cstheme="minorHAnsi"/>
              </w:rPr>
              <w:t>Manalac</w:t>
            </w:r>
            <w:proofErr w:type="spellEnd"/>
            <w:r w:rsidRPr="008935C0">
              <w:rPr>
                <w:rFonts w:cstheme="minorHAnsi"/>
              </w:rPr>
              <w:t xml:space="preserve"> and Justine Wadhawan</w:t>
            </w:r>
            <w:r>
              <w:rPr>
                <w:rFonts w:cstheme="minorHAnsi"/>
              </w:rPr>
              <w:t xml:space="preserve">, (2016) </w:t>
            </w:r>
            <w:r w:rsidRPr="00F71AC7">
              <w:rPr>
                <w:rFonts w:cstheme="minorHAnsi"/>
              </w:rPr>
              <w:t>Mapping Disaster Response in Canada and Ontario</w:t>
            </w:r>
            <w:r w:rsidR="00F71AC7">
              <w:rPr>
                <w:rFonts w:cstheme="minorHAnsi"/>
              </w:rPr>
              <w:t xml:space="preserve">, </w:t>
            </w:r>
            <w:r w:rsidR="00F71AC7" w:rsidRPr="00F71AC7">
              <w:rPr>
                <w:rFonts w:cstheme="minorHAnsi"/>
                <w:i/>
              </w:rPr>
              <w:t>From the Ashes Government and Non-Profit Cooperation in Emergency Management</w:t>
            </w:r>
            <w:r w:rsidR="00F71AC7">
              <w:rPr>
                <w:rFonts w:cstheme="minorHAnsi"/>
              </w:rPr>
              <w:t>, Ryerson University</w:t>
            </w:r>
          </w:p>
          <w:p w14:paraId="76FDF066" w14:textId="77777777" w:rsidR="00C541CC" w:rsidRDefault="00C541CC" w:rsidP="00F71AC7">
            <w:pPr>
              <w:rPr>
                <w:rFonts w:cstheme="minorHAnsi"/>
              </w:rPr>
            </w:pPr>
          </w:p>
          <w:p w14:paraId="06FC6C00" w14:textId="77777777" w:rsidR="00C541CC" w:rsidRPr="00F71AC7" w:rsidRDefault="00C541CC" w:rsidP="00AF0312">
            <w:pPr>
              <w:rPr>
                <w:rFonts w:cstheme="minorHAnsi"/>
              </w:rPr>
            </w:pPr>
            <w:r w:rsidRPr="00C541CC">
              <w:rPr>
                <w:rFonts w:cstheme="minorHAnsi"/>
              </w:rPr>
              <w:t xml:space="preserve">KPMG, (2017), </w:t>
            </w:r>
            <w:r w:rsidRPr="00C541CC">
              <w:rPr>
                <w:rFonts w:cstheme="minorHAnsi"/>
                <w:i/>
              </w:rPr>
              <w:t>May 2016 Wood Buffalo Wildfire Post-Incident Assessment Report,</w:t>
            </w:r>
            <w:r w:rsidRPr="00C541CC">
              <w:rPr>
                <w:rFonts w:cstheme="minorHAnsi"/>
              </w:rPr>
              <w:t xml:space="preserve"> Final Report, </w:t>
            </w:r>
            <w:r w:rsidR="00AF0312">
              <w:rPr>
                <w:rFonts w:cstheme="minorHAnsi"/>
              </w:rPr>
              <w:t xml:space="preserve">May 2017, PP </w:t>
            </w:r>
            <w:r w:rsidRPr="00C541CC">
              <w:rPr>
                <w:rFonts w:cstheme="minorHAnsi"/>
              </w:rPr>
              <w:t>63-66</w:t>
            </w:r>
          </w:p>
        </w:tc>
        <w:tc>
          <w:tcPr>
            <w:tcW w:w="2394" w:type="dxa"/>
          </w:tcPr>
          <w:p w14:paraId="1CC7E1B1" w14:textId="77777777" w:rsidR="00587B5D" w:rsidRPr="0095643D" w:rsidRDefault="00587B5D" w:rsidP="00587B5D">
            <w:pPr>
              <w:jc w:val="center"/>
              <w:rPr>
                <w:rFonts w:cstheme="minorHAnsi"/>
              </w:rPr>
            </w:pPr>
          </w:p>
        </w:tc>
      </w:tr>
      <w:tr w:rsidR="00587B5D" w:rsidRPr="0095643D" w14:paraId="3E7C255A" w14:textId="77777777" w:rsidTr="00587B5D">
        <w:tc>
          <w:tcPr>
            <w:tcW w:w="1278" w:type="dxa"/>
          </w:tcPr>
          <w:p w14:paraId="560689C8" w14:textId="77777777" w:rsidR="00587B5D" w:rsidRPr="0095643D" w:rsidRDefault="00D9512F" w:rsidP="00587B5D">
            <w:pPr>
              <w:jc w:val="center"/>
              <w:rPr>
                <w:rFonts w:cstheme="minorHAnsi"/>
              </w:rPr>
            </w:pPr>
            <w:r w:rsidRPr="0095643D">
              <w:rPr>
                <w:rFonts w:cstheme="minorHAnsi"/>
              </w:rPr>
              <w:t>4</w:t>
            </w:r>
          </w:p>
        </w:tc>
        <w:tc>
          <w:tcPr>
            <w:tcW w:w="1260" w:type="dxa"/>
          </w:tcPr>
          <w:p w14:paraId="53E093AC" w14:textId="619CA3F8" w:rsidR="00587B5D" w:rsidRPr="0095643D" w:rsidRDefault="00E5513C" w:rsidP="00587B5D">
            <w:pPr>
              <w:jc w:val="center"/>
              <w:rPr>
                <w:rFonts w:cstheme="minorHAnsi"/>
              </w:rPr>
            </w:pPr>
            <w:r>
              <w:rPr>
                <w:rFonts w:cstheme="minorHAnsi"/>
              </w:rPr>
              <w:t xml:space="preserve">1 Feb </w:t>
            </w:r>
            <w:r w:rsidR="005357F1">
              <w:rPr>
                <w:rFonts w:cstheme="minorHAnsi"/>
              </w:rPr>
              <w:t>2</w:t>
            </w:r>
            <w:r>
              <w:rPr>
                <w:rFonts w:cstheme="minorHAnsi"/>
              </w:rPr>
              <w:t>1</w:t>
            </w:r>
          </w:p>
        </w:tc>
        <w:tc>
          <w:tcPr>
            <w:tcW w:w="4644" w:type="dxa"/>
          </w:tcPr>
          <w:p w14:paraId="674C58F7" w14:textId="77777777" w:rsidR="003F59E0" w:rsidRPr="003F59E0" w:rsidRDefault="00D9512F" w:rsidP="003F59E0">
            <w:pPr>
              <w:rPr>
                <w:rFonts w:cstheme="minorHAnsi"/>
              </w:rPr>
            </w:pPr>
            <w:r w:rsidRPr="0095643D">
              <w:rPr>
                <w:rFonts w:cstheme="minorHAnsi"/>
              </w:rPr>
              <w:t>Flow of logistics, planning considerations, evacuations, understanding partners in disaster response</w:t>
            </w:r>
            <w:r w:rsidR="003F59E0">
              <w:rPr>
                <w:rFonts w:cstheme="minorHAnsi"/>
              </w:rPr>
              <w:t xml:space="preserve">.   </w:t>
            </w:r>
            <w:r w:rsidR="003F59E0" w:rsidRPr="003F59E0">
              <w:rPr>
                <w:rFonts w:cstheme="minorHAnsi"/>
              </w:rPr>
              <w:t>Transportation considerations for responders to an emergency, ensuring effective flow of materials leveraging most efficient means - Quantitative assessments on material and transport requirements</w:t>
            </w:r>
          </w:p>
          <w:p w14:paraId="698E1B67" w14:textId="76FDF45D" w:rsidR="00587B5D" w:rsidRDefault="00587B5D" w:rsidP="00587B5D">
            <w:pPr>
              <w:rPr>
                <w:rFonts w:cstheme="minorHAnsi"/>
              </w:rPr>
            </w:pPr>
          </w:p>
          <w:p w14:paraId="75DCF44E" w14:textId="77777777" w:rsidR="008A52ED" w:rsidRDefault="008A52ED" w:rsidP="00D56F7D">
            <w:pPr>
              <w:rPr>
                <w:rFonts w:cstheme="minorHAnsi"/>
                <w:i/>
              </w:rPr>
            </w:pPr>
            <w:r>
              <w:rPr>
                <w:rFonts w:cstheme="minorHAnsi"/>
              </w:rPr>
              <w:t>Readings:</w:t>
            </w:r>
            <w:r w:rsidR="0026518A">
              <w:rPr>
                <w:rFonts w:cstheme="minorHAnsi"/>
              </w:rPr>
              <w:t xml:space="preserve">  Charles, Aurelie</w:t>
            </w:r>
            <w:r w:rsidR="00D56F7D">
              <w:rPr>
                <w:rFonts w:cstheme="minorHAnsi"/>
              </w:rPr>
              <w:t>,</w:t>
            </w:r>
            <w:r w:rsidR="0026518A" w:rsidRPr="0026518A">
              <w:t xml:space="preserve"> </w:t>
            </w:r>
            <w:r w:rsidR="0026518A" w:rsidRPr="0026518A">
              <w:rPr>
                <w:rFonts w:cstheme="minorHAnsi"/>
              </w:rPr>
              <w:t xml:space="preserve">Matthieu </w:t>
            </w:r>
            <w:proofErr w:type="spellStart"/>
            <w:r w:rsidR="0026518A">
              <w:rPr>
                <w:rFonts w:cstheme="minorHAnsi"/>
              </w:rPr>
              <w:t>Lauras</w:t>
            </w:r>
            <w:proofErr w:type="spellEnd"/>
            <w:r w:rsidR="0026518A">
              <w:rPr>
                <w:rFonts w:cstheme="minorHAnsi"/>
              </w:rPr>
              <w:t xml:space="preserve"> </w:t>
            </w:r>
            <w:r w:rsidR="00D56F7D">
              <w:rPr>
                <w:rFonts w:cstheme="minorHAnsi"/>
              </w:rPr>
              <w:t xml:space="preserve">and </w:t>
            </w:r>
            <w:r w:rsidR="00D56F7D" w:rsidRPr="00D56F7D">
              <w:rPr>
                <w:rFonts w:cstheme="minorHAnsi"/>
              </w:rPr>
              <w:t xml:space="preserve">Rolando </w:t>
            </w:r>
            <w:proofErr w:type="spellStart"/>
            <w:r w:rsidR="00D56F7D" w:rsidRPr="00D56F7D">
              <w:rPr>
                <w:rFonts w:cstheme="minorHAnsi"/>
              </w:rPr>
              <w:t>T</w:t>
            </w:r>
            <w:r w:rsidR="00D56F7D">
              <w:rPr>
                <w:rFonts w:cstheme="minorHAnsi"/>
              </w:rPr>
              <w:t>omasini</w:t>
            </w:r>
            <w:proofErr w:type="spellEnd"/>
            <w:r w:rsidR="00D56F7D">
              <w:rPr>
                <w:rFonts w:cstheme="minorHAnsi"/>
              </w:rPr>
              <w:t>, (2009)</w:t>
            </w:r>
            <w:r w:rsidR="00D56F7D" w:rsidRPr="00D56F7D">
              <w:rPr>
                <w:rFonts w:cstheme="minorHAnsi"/>
              </w:rPr>
              <w:t xml:space="preserve"> </w:t>
            </w:r>
            <w:r w:rsidR="0026518A" w:rsidRPr="0026518A">
              <w:rPr>
                <w:rFonts w:cstheme="minorHAnsi"/>
              </w:rPr>
              <w:t xml:space="preserve">Learning from </w:t>
            </w:r>
            <w:r w:rsidR="00D56F7D">
              <w:rPr>
                <w:rFonts w:cstheme="minorHAnsi"/>
              </w:rPr>
              <w:t>P</w:t>
            </w:r>
            <w:r w:rsidR="0026518A" w:rsidRPr="0026518A">
              <w:rPr>
                <w:rFonts w:cstheme="minorHAnsi"/>
              </w:rPr>
              <w:t xml:space="preserve">revious </w:t>
            </w:r>
            <w:r w:rsidR="00D56F7D">
              <w:rPr>
                <w:rFonts w:cstheme="minorHAnsi"/>
              </w:rPr>
              <w:t>H</w:t>
            </w:r>
            <w:r w:rsidR="0026518A" w:rsidRPr="0026518A">
              <w:rPr>
                <w:rFonts w:cstheme="minorHAnsi"/>
              </w:rPr>
              <w:t xml:space="preserve">umanitarian </w:t>
            </w:r>
            <w:r w:rsidR="00D56F7D">
              <w:rPr>
                <w:rFonts w:cstheme="minorHAnsi"/>
              </w:rPr>
              <w:t>O</w:t>
            </w:r>
            <w:r w:rsidR="0026518A" w:rsidRPr="0026518A">
              <w:rPr>
                <w:rFonts w:cstheme="minorHAnsi"/>
              </w:rPr>
              <w:t>perations, a</w:t>
            </w:r>
            <w:r w:rsidR="0026518A">
              <w:rPr>
                <w:rFonts w:cstheme="minorHAnsi"/>
              </w:rPr>
              <w:t xml:space="preserve"> </w:t>
            </w:r>
            <w:r w:rsidR="0026518A" w:rsidRPr="0026518A">
              <w:rPr>
                <w:rFonts w:cstheme="minorHAnsi"/>
              </w:rPr>
              <w:t>Business Process Reengineering approach</w:t>
            </w:r>
            <w:r w:rsidR="0026518A">
              <w:rPr>
                <w:rFonts w:cstheme="minorHAnsi"/>
              </w:rPr>
              <w:t xml:space="preserve">, </w:t>
            </w:r>
            <w:r w:rsidR="0026518A" w:rsidRPr="0026518A">
              <w:rPr>
                <w:rFonts w:cstheme="minorHAnsi"/>
                <w:i/>
              </w:rPr>
              <w:t>Proceedings of the 6th International ISCRAM Conference – Gothenburg, Sweden, May 2009 J. Landgren and S. Jul, eds.</w:t>
            </w:r>
          </w:p>
          <w:p w14:paraId="50F64531" w14:textId="77777777" w:rsidR="003F59E0" w:rsidRDefault="003F59E0" w:rsidP="00D56F7D">
            <w:pPr>
              <w:rPr>
                <w:rFonts w:cstheme="minorHAnsi"/>
                <w:i/>
              </w:rPr>
            </w:pPr>
          </w:p>
          <w:p w14:paraId="089D07A9" w14:textId="77777777" w:rsidR="003F59E0" w:rsidRPr="003F59E0" w:rsidRDefault="003F59E0" w:rsidP="003F59E0">
            <w:pPr>
              <w:rPr>
                <w:rFonts w:cstheme="minorHAnsi"/>
                <w:iCs/>
              </w:rPr>
            </w:pPr>
          </w:p>
          <w:p w14:paraId="19646EBE" w14:textId="08EA5795" w:rsidR="003F59E0" w:rsidRPr="003F59E0" w:rsidRDefault="003F59E0" w:rsidP="003F59E0">
            <w:pPr>
              <w:rPr>
                <w:rFonts w:cstheme="minorHAnsi"/>
                <w:iCs/>
              </w:rPr>
            </w:pPr>
            <w:proofErr w:type="spellStart"/>
            <w:r w:rsidRPr="003F59E0">
              <w:rPr>
                <w:rFonts w:cstheme="minorHAnsi"/>
                <w:iCs/>
              </w:rPr>
              <w:lastRenderedPageBreak/>
              <w:t>Kekić</w:t>
            </w:r>
            <w:proofErr w:type="spellEnd"/>
            <w:r w:rsidRPr="003F59E0">
              <w:rPr>
                <w:rFonts w:cstheme="minorHAnsi"/>
                <w:iCs/>
              </w:rPr>
              <w:t xml:space="preserve">, Dalibor &amp; </w:t>
            </w:r>
            <w:proofErr w:type="spellStart"/>
            <w:r w:rsidRPr="003F59E0">
              <w:rPr>
                <w:rFonts w:cstheme="minorHAnsi"/>
                <w:iCs/>
              </w:rPr>
              <w:t>Milenković</w:t>
            </w:r>
            <w:proofErr w:type="spellEnd"/>
            <w:r w:rsidRPr="003F59E0">
              <w:rPr>
                <w:rFonts w:cstheme="minorHAnsi"/>
                <w:iCs/>
              </w:rPr>
              <w:t xml:space="preserve">, </w:t>
            </w:r>
            <w:proofErr w:type="spellStart"/>
            <w:r w:rsidRPr="003F59E0">
              <w:rPr>
                <w:rFonts w:cstheme="minorHAnsi"/>
                <w:iCs/>
              </w:rPr>
              <w:t>Miloš</w:t>
            </w:r>
            <w:proofErr w:type="spellEnd"/>
            <w:r w:rsidRPr="003F59E0">
              <w:rPr>
                <w:rFonts w:cstheme="minorHAnsi"/>
                <w:iCs/>
              </w:rPr>
              <w:t xml:space="preserve"> &amp; </w:t>
            </w:r>
            <w:proofErr w:type="spellStart"/>
            <w:r w:rsidRPr="003F59E0">
              <w:rPr>
                <w:rFonts w:cstheme="minorHAnsi"/>
                <w:iCs/>
              </w:rPr>
              <w:t>Čudan</w:t>
            </w:r>
            <w:proofErr w:type="spellEnd"/>
            <w:r w:rsidRPr="003F59E0">
              <w:rPr>
                <w:rFonts w:cstheme="minorHAnsi"/>
                <w:iCs/>
              </w:rPr>
              <w:t xml:space="preserve">, Aleksandar. (2019). The Use of an Adjusted Transportation Model, for Optimizing Provision of International Help, in Case of Emergency Situations. Acta </w:t>
            </w:r>
            <w:proofErr w:type="spellStart"/>
            <w:r w:rsidRPr="003F59E0">
              <w:rPr>
                <w:rFonts w:cstheme="minorHAnsi"/>
                <w:iCs/>
              </w:rPr>
              <w:t>Polytechnica</w:t>
            </w:r>
            <w:proofErr w:type="spellEnd"/>
            <w:r w:rsidRPr="003F59E0">
              <w:rPr>
                <w:rFonts w:cstheme="minorHAnsi"/>
                <w:iCs/>
              </w:rPr>
              <w:t xml:space="preserve"> </w:t>
            </w:r>
            <w:proofErr w:type="spellStart"/>
            <w:r w:rsidRPr="003F59E0">
              <w:rPr>
                <w:rFonts w:cstheme="minorHAnsi"/>
                <w:iCs/>
              </w:rPr>
              <w:t>Hungarica</w:t>
            </w:r>
            <w:proofErr w:type="spellEnd"/>
            <w:r w:rsidRPr="003F59E0">
              <w:rPr>
                <w:rFonts w:cstheme="minorHAnsi"/>
                <w:iCs/>
              </w:rPr>
              <w:t>. 16. 187-206.</w:t>
            </w:r>
          </w:p>
        </w:tc>
        <w:tc>
          <w:tcPr>
            <w:tcW w:w="2394" w:type="dxa"/>
          </w:tcPr>
          <w:p w14:paraId="3CF92E90" w14:textId="77777777" w:rsidR="00587B5D" w:rsidRPr="0095643D" w:rsidRDefault="00587B5D" w:rsidP="00587B5D">
            <w:pPr>
              <w:jc w:val="center"/>
              <w:rPr>
                <w:rFonts w:cstheme="minorHAnsi"/>
              </w:rPr>
            </w:pPr>
          </w:p>
        </w:tc>
      </w:tr>
      <w:tr w:rsidR="00D9512F" w:rsidRPr="0095643D" w14:paraId="4CC1FC60" w14:textId="77777777" w:rsidTr="00587B5D">
        <w:tc>
          <w:tcPr>
            <w:tcW w:w="1278" w:type="dxa"/>
          </w:tcPr>
          <w:p w14:paraId="3BB1BBC5" w14:textId="77777777" w:rsidR="00D9512F" w:rsidRPr="0095643D" w:rsidRDefault="00D9512F" w:rsidP="00587B5D">
            <w:pPr>
              <w:jc w:val="center"/>
              <w:rPr>
                <w:rFonts w:cstheme="minorHAnsi"/>
              </w:rPr>
            </w:pPr>
            <w:r w:rsidRPr="0095643D">
              <w:rPr>
                <w:rFonts w:cstheme="minorHAnsi"/>
              </w:rPr>
              <w:t>5</w:t>
            </w:r>
          </w:p>
        </w:tc>
        <w:tc>
          <w:tcPr>
            <w:tcW w:w="1260" w:type="dxa"/>
          </w:tcPr>
          <w:p w14:paraId="2C7D58BF" w14:textId="6AF5B2C8" w:rsidR="00D9512F" w:rsidRPr="0095643D" w:rsidRDefault="00E5513C" w:rsidP="00587B5D">
            <w:pPr>
              <w:jc w:val="center"/>
              <w:rPr>
                <w:rFonts w:cstheme="minorHAnsi"/>
              </w:rPr>
            </w:pPr>
            <w:r>
              <w:rPr>
                <w:rFonts w:cstheme="minorHAnsi"/>
              </w:rPr>
              <w:t>8</w:t>
            </w:r>
            <w:r w:rsidR="005357F1">
              <w:rPr>
                <w:rFonts w:cstheme="minorHAnsi"/>
              </w:rPr>
              <w:t xml:space="preserve"> Feb 20</w:t>
            </w:r>
          </w:p>
        </w:tc>
        <w:tc>
          <w:tcPr>
            <w:tcW w:w="4644" w:type="dxa"/>
          </w:tcPr>
          <w:p w14:paraId="5FC26B9B" w14:textId="77777777" w:rsidR="00D9512F" w:rsidRDefault="00D9512F" w:rsidP="00381D75">
            <w:pPr>
              <w:rPr>
                <w:rFonts w:cstheme="minorHAnsi"/>
              </w:rPr>
            </w:pPr>
            <w:r w:rsidRPr="0095643D">
              <w:rPr>
                <w:rFonts w:cstheme="minorHAnsi"/>
              </w:rPr>
              <w:t>Understanding critical infrastructure, water, electricity</w:t>
            </w:r>
            <w:r w:rsidR="00381D75" w:rsidRPr="0095643D">
              <w:rPr>
                <w:rFonts w:cstheme="minorHAnsi"/>
              </w:rPr>
              <w:t xml:space="preserve">, medical </w:t>
            </w:r>
            <w:r w:rsidRPr="0095643D">
              <w:rPr>
                <w:rFonts w:cstheme="minorHAnsi"/>
              </w:rPr>
              <w:t>for the impacted population</w:t>
            </w:r>
          </w:p>
          <w:p w14:paraId="40A6F971" w14:textId="77777777" w:rsidR="008A52ED" w:rsidRDefault="008A52ED" w:rsidP="00381D75">
            <w:pPr>
              <w:rPr>
                <w:rFonts w:cstheme="minorHAnsi"/>
              </w:rPr>
            </w:pPr>
          </w:p>
          <w:p w14:paraId="60BC3F9D" w14:textId="77777777" w:rsidR="008A52ED" w:rsidRPr="00A0081E" w:rsidRDefault="008A52ED" w:rsidP="00A0081E">
            <w:pPr>
              <w:rPr>
                <w:rFonts w:cstheme="minorHAnsi"/>
                <w:u w:val="single"/>
              </w:rPr>
            </w:pPr>
            <w:r>
              <w:rPr>
                <w:rFonts w:cstheme="minorHAnsi"/>
              </w:rPr>
              <w:t>Readings:</w:t>
            </w:r>
            <w:r w:rsidR="00C541CC">
              <w:rPr>
                <w:rFonts w:cstheme="minorHAnsi"/>
              </w:rPr>
              <w:t xml:space="preserve"> </w:t>
            </w:r>
            <w:r w:rsidR="00A0081E">
              <w:rPr>
                <w:rFonts w:cstheme="minorHAnsi"/>
              </w:rPr>
              <w:t xml:space="preserve">United Nations University (2016), </w:t>
            </w:r>
            <w:r w:rsidR="00A0081E">
              <w:rPr>
                <w:rFonts w:cstheme="minorHAnsi"/>
                <w:i/>
              </w:rPr>
              <w:t>World Risk Report 2016</w:t>
            </w:r>
            <w:r w:rsidR="00A0081E">
              <w:rPr>
                <w:rFonts w:cstheme="minorHAnsi"/>
              </w:rPr>
              <w:t xml:space="preserve">, </w:t>
            </w:r>
            <w:proofErr w:type="spellStart"/>
            <w:r w:rsidR="00A0081E" w:rsidRPr="00A0081E">
              <w:rPr>
                <w:rFonts w:cstheme="minorHAnsi"/>
              </w:rPr>
              <w:t>Bündnis</w:t>
            </w:r>
            <w:proofErr w:type="spellEnd"/>
            <w:r w:rsidR="00A0081E" w:rsidRPr="00A0081E">
              <w:rPr>
                <w:rFonts w:cstheme="minorHAnsi"/>
              </w:rPr>
              <w:t xml:space="preserve"> </w:t>
            </w:r>
            <w:proofErr w:type="spellStart"/>
            <w:r w:rsidR="00A0081E" w:rsidRPr="00A0081E">
              <w:rPr>
                <w:rFonts w:cstheme="minorHAnsi"/>
              </w:rPr>
              <w:t>Entwicklung</w:t>
            </w:r>
            <w:proofErr w:type="spellEnd"/>
            <w:r w:rsidR="00A0081E" w:rsidRPr="00A0081E">
              <w:rPr>
                <w:rFonts w:cstheme="minorHAnsi"/>
              </w:rPr>
              <w:t xml:space="preserve"> </w:t>
            </w:r>
            <w:proofErr w:type="spellStart"/>
            <w:r w:rsidR="00A0081E" w:rsidRPr="00A0081E">
              <w:rPr>
                <w:rFonts w:cstheme="minorHAnsi"/>
              </w:rPr>
              <w:t>Hilft</w:t>
            </w:r>
            <w:proofErr w:type="spellEnd"/>
            <w:r w:rsidR="00A0081E" w:rsidRPr="00A0081E">
              <w:rPr>
                <w:rFonts w:cstheme="minorHAnsi"/>
              </w:rPr>
              <w:t xml:space="preserve"> and UNU-EHS</w:t>
            </w:r>
            <w:r w:rsidR="00A0081E">
              <w:rPr>
                <w:rFonts w:cstheme="minorHAnsi"/>
              </w:rPr>
              <w:t>, Berlin, August 2016.</w:t>
            </w:r>
          </w:p>
        </w:tc>
        <w:tc>
          <w:tcPr>
            <w:tcW w:w="2394" w:type="dxa"/>
          </w:tcPr>
          <w:p w14:paraId="30E14287" w14:textId="77777777" w:rsidR="00D9512F" w:rsidRPr="0095643D" w:rsidRDefault="00D9512F" w:rsidP="00587B5D">
            <w:pPr>
              <w:jc w:val="center"/>
              <w:rPr>
                <w:rFonts w:cstheme="minorHAnsi"/>
              </w:rPr>
            </w:pPr>
          </w:p>
        </w:tc>
      </w:tr>
      <w:tr w:rsidR="00FD6E5C" w:rsidRPr="0095643D" w14:paraId="299BE739" w14:textId="77777777" w:rsidTr="00587B5D">
        <w:tc>
          <w:tcPr>
            <w:tcW w:w="1278" w:type="dxa"/>
          </w:tcPr>
          <w:p w14:paraId="6E03133D" w14:textId="77777777" w:rsidR="00FD6E5C" w:rsidRPr="0095643D" w:rsidRDefault="00FD6E5C" w:rsidP="00FD6E5C">
            <w:pPr>
              <w:jc w:val="center"/>
              <w:rPr>
                <w:rFonts w:cstheme="minorHAnsi"/>
              </w:rPr>
            </w:pPr>
          </w:p>
        </w:tc>
        <w:tc>
          <w:tcPr>
            <w:tcW w:w="1260" w:type="dxa"/>
          </w:tcPr>
          <w:p w14:paraId="0705F650" w14:textId="1DD90790" w:rsidR="00FD6E5C" w:rsidRDefault="00FD6E5C" w:rsidP="00FD6E5C">
            <w:pPr>
              <w:jc w:val="center"/>
              <w:rPr>
                <w:rFonts w:cstheme="minorHAnsi"/>
              </w:rPr>
            </w:pPr>
            <w:r w:rsidRPr="001B41C6">
              <w:rPr>
                <w:rFonts w:cstheme="minorHAnsi"/>
              </w:rPr>
              <w:t>Feb. 1</w:t>
            </w:r>
            <w:r>
              <w:rPr>
                <w:rFonts w:cstheme="minorHAnsi"/>
              </w:rPr>
              <w:t>5</w:t>
            </w:r>
            <w:r w:rsidRPr="001B41C6">
              <w:rPr>
                <w:rFonts w:cstheme="minorHAnsi"/>
              </w:rPr>
              <w:t>-</w:t>
            </w:r>
            <w:r>
              <w:rPr>
                <w:rFonts w:cstheme="minorHAnsi"/>
              </w:rPr>
              <w:t>19</w:t>
            </w:r>
          </w:p>
        </w:tc>
        <w:tc>
          <w:tcPr>
            <w:tcW w:w="4644" w:type="dxa"/>
          </w:tcPr>
          <w:p w14:paraId="0AC704F3" w14:textId="2BD1F668" w:rsidR="00FD6E5C" w:rsidRPr="0095643D" w:rsidRDefault="00FD6E5C" w:rsidP="00FD6E5C">
            <w:pPr>
              <w:rPr>
                <w:rFonts w:cstheme="minorHAnsi"/>
              </w:rPr>
            </w:pPr>
            <w:r w:rsidRPr="0095643D">
              <w:rPr>
                <w:rFonts w:cstheme="minorHAnsi"/>
              </w:rPr>
              <w:t>Reading Week</w:t>
            </w:r>
          </w:p>
        </w:tc>
        <w:tc>
          <w:tcPr>
            <w:tcW w:w="2394" w:type="dxa"/>
          </w:tcPr>
          <w:p w14:paraId="1015A65D" w14:textId="77777777" w:rsidR="00FD6E5C" w:rsidRPr="0095643D" w:rsidRDefault="00FD6E5C" w:rsidP="00FD6E5C">
            <w:pPr>
              <w:jc w:val="center"/>
              <w:rPr>
                <w:rFonts w:cstheme="minorHAnsi"/>
              </w:rPr>
            </w:pPr>
          </w:p>
        </w:tc>
      </w:tr>
      <w:tr w:rsidR="00FD6E5C" w:rsidRPr="0095643D" w14:paraId="0035EFDE" w14:textId="77777777" w:rsidTr="00587B5D">
        <w:tc>
          <w:tcPr>
            <w:tcW w:w="1278" w:type="dxa"/>
          </w:tcPr>
          <w:p w14:paraId="48FBC5B7" w14:textId="77777777" w:rsidR="00FD6E5C" w:rsidRPr="0095643D" w:rsidRDefault="00FD6E5C" w:rsidP="00FD6E5C">
            <w:pPr>
              <w:jc w:val="center"/>
              <w:rPr>
                <w:rFonts w:cstheme="minorHAnsi"/>
              </w:rPr>
            </w:pPr>
            <w:r w:rsidRPr="0095643D">
              <w:rPr>
                <w:rFonts w:cstheme="minorHAnsi"/>
              </w:rPr>
              <w:t>6</w:t>
            </w:r>
          </w:p>
        </w:tc>
        <w:tc>
          <w:tcPr>
            <w:tcW w:w="1260" w:type="dxa"/>
          </w:tcPr>
          <w:p w14:paraId="7DDCEB52" w14:textId="5413F908" w:rsidR="00FD6E5C" w:rsidRPr="0095643D" w:rsidRDefault="00FD6E5C" w:rsidP="00FD6E5C">
            <w:pPr>
              <w:jc w:val="center"/>
              <w:rPr>
                <w:rFonts w:cstheme="minorHAnsi"/>
              </w:rPr>
            </w:pPr>
            <w:r>
              <w:rPr>
                <w:rFonts w:cstheme="minorHAnsi"/>
              </w:rPr>
              <w:t xml:space="preserve">22 Feb 20 </w:t>
            </w:r>
          </w:p>
        </w:tc>
        <w:tc>
          <w:tcPr>
            <w:tcW w:w="4644" w:type="dxa"/>
          </w:tcPr>
          <w:p w14:paraId="1F3CB3EF" w14:textId="77777777" w:rsidR="00FD6E5C" w:rsidRDefault="00FD6E5C" w:rsidP="00FD6E5C">
            <w:pPr>
              <w:rPr>
                <w:rFonts w:cstheme="minorHAnsi"/>
              </w:rPr>
            </w:pPr>
            <w:r w:rsidRPr="0095643D">
              <w:rPr>
                <w:rFonts w:cstheme="minorHAnsi"/>
              </w:rPr>
              <w:t>The logistical reconnaissance – time spent in advance to ensure that success follows</w:t>
            </w:r>
            <w:r>
              <w:rPr>
                <w:rFonts w:cstheme="minorHAnsi"/>
              </w:rPr>
              <w:t>.  Key issues that should be identified such as sources of potable, or treatable water, secure shelters, etc.</w:t>
            </w:r>
          </w:p>
          <w:p w14:paraId="76CF9723" w14:textId="77777777" w:rsidR="00FD6E5C" w:rsidRDefault="00FD6E5C" w:rsidP="00FD6E5C">
            <w:pPr>
              <w:rPr>
                <w:rFonts w:cstheme="minorHAnsi"/>
              </w:rPr>
            </w:pPr>
          </w:p>
          <w:p w14:paraId="14E60637" w14:textId="77777777" w:rsidR="00FD6E5C" w:rsidRPr="0095643D" w:rsidRDefault="00FD6E5C" w:rsidP="00FD6E5C">
            <w:pPr>
              <w:rPr>
                <w:rFonts w:cstheme="minorHAnsi"/>
              </w:rPr>
            </w:pPr>
            <w:r>
              <w:rPr>
                <w:rFonts w:cstheme="minorHAnsi"/>
              </w:rPr>
              <w:t xml:space="preserve">Readings:  </w:t>
            </w:r>
            <w:proofErr w:type="spellStart"/>
            <w:r w:rsidRPr="008935C0">
              <w:rPr>
                <w:rFonts w:cstheme="minorHAnsi"/>
              </w:rPr>
              <w:t>Kapucu</w:t>
            </w:r>
            <w:proofErr w:type="spellEnd"/>
            <w:r w:rsidRPr="008935C0">
              <w:rPr>
                <w:rFonts w:cstheme="minorHAnsi"/>
              </w:rPr>
              <w:t xml:space="preserve">, N., </w:t>
            </w:r>
            <w:proofErr w:type="spellStart"/>
            <w:r w:rsidRPr="008935C0">
              <w:rPr>
                <w:rFonts w:cstheme="minorHAnsi"/>
              </w:rPr>
              <w:t>Lawther</w:t>
            </w:r>
            <w:proofErr w:type="spellEnd"/>
            <w:r w:rsidRPr="008935C0">
              <w:rPr>
                <w:rFonts w:cstheme="minorHAnsi"/>
              </w:rPr>
              <w:t>, W. &amp; Pattison, S. (2007). Logistics and Staging Areas in Managing Disasters and Emergencies. </w:t>
            </w:r>
            <w:r w:rsidRPr="008935C0">
              <w:rPr>
                <w:rFonts w:cstheme="minorHAnsi"/>
                <w:i/>
                <w:iCs/>
              </w:rPr>
              <w:t>Journal of Homeland Security and Emergency Management</w:t>
            </w:r>
            <w:r w:rsidRPr="008935C0">
              <w:rPr>
                <w:rFonts w:cstheme="minorHAnsi"/>
              </w:rPr>
              <w:t>, 4(2), pp. -. Retrieved 30 Oct. 2019, from doi:10.2202/1547-7355.1249</w:t>
            </w:r>
          </w:p>
        </w:tc>
        <w:tc>
          <w:tcPr>
            <w:tcW w:w="2394" w:type="dxa"/>
          </w:tcPr>
          <w:p w14:paraId="429F9C24" w14:textId="4D1A425F" w:rsidR="00FD6E5C" w:rsidRPr="0095643D" w:rsidRDefault="00FD6E5C" w:rsidP="00FD6E5C">
            <w:pPr>
              <w:jc w:val="center"/>
              <w:rPr>
                <w:rFonts w:cstheme="minorHAnsi"/>
              </w:rPr>
            </w:pPr>
          </w:p>
        </w:tc>
      </w:tr>
      <w:tr w:rsidR="00FD6E5C" w:rsidRPr="0095643D" w14:paraId="544D1898" w14:textId="77777777" w:rsidTr="00587B5D">
        <w:tc>
          <w:tcPr>
            <w:tcW w:w="1278" w:type="dxa"/>
          </w:tcPr>
          <w:p w14:paraId="04A57A32" w14:textId="77777777" w:rsidR="00FD6E5C" w:rsidRPr="0095643D" w:rsidRDefault="00FD6E5C" w:rsidP="00FD6E5C">
            <w:pPr>
              <w:jc w:val="center"/>
              <w:rPr>
                <w:rFonts w:cstheme="minorHAnsi"/>
              </w:rPr>
            </w:pPr>
            <w:r w:rsidRPr="0095643D">
              <w:rPr>
                <w:rFonts w:cstheme="minorHAnsi"/>
              </w:rPr>
              <w:t>7</w:t>
            </w:r>
          </w:p>
        </w:tc>
        <w:tc>
          <w:tcPr>
            <w:tcW w:w="1260" w:type="dxa"/>
          </w:tcPr>
          <w:p w14:paraId="5B4D7D58" w14:textId="690EC60F" w:rsidR="00FD6E5C" w:rsidRPr="0095643D" w:rsidRDefault="00FD6E5C" w:rsidP="00FD6E5C">
            <w:pPr>
              <w:jc w:val="center"/>
              <w:rPr>
                <w:rFonts w:cstheme="minorHAnsi"/>
              </w:rPr>
            </w:pPr>
            <w:r>
              <w:rPr>
                <w:rFonts w:cstheme="minorHAnsi"/>
              </w:rPr>
              <w:t>1 Mar 20</w:t>
            </w:r>
          </w:p>
        </w:tc>
        <w:tc>
          <w:tcPr>
            <w:tcW w:w="4644" w:type="dxa"/>
          </w:tcPr>
          <w:p w14:paraId="3B179554" w14:textId="3203D82A" w:rsidR="003F59E0" w:rsidRPr="003F59E0" w:rsidRDefault="003F59E0" w:rsidP="003F59E0">
            <w:pPr>
              <w:rPr>
                <w:rFonts w:cstheme="minorHAnsi"/>
              </w:rPr>
            </w:pPr>
            <w:r w:rsidRPr="003F59E0">
              <w:rPr>
                <w:rFonts w:cstheme="minorHAnsi"/>
              </w:rPr>
              <w:t>Being prepared for disasters – predictable events vs no notice events – setting conditions for success – planning factors logistics and operations, security of logistics facilities.  Quantitative assessment of staging and movement</w:t>
            </w:r>
          </w:p>
          <w:p w14:paraId="12C87D6D" w14:textId="77777777" w:rsidR="003F59E0" w:rsidRPr="003F59E0" w:rsidRDefault="003F59E0" w:rsidP="003F59E0">
            <w:pPr>
              <w:rPr>
                <w:rFonts w:cstheme="minorHAnsi"/>
              </w:rPr>
            </w:pPr>
          </w:p>
          <w:p w14:paraId="30808422" w14:textId="77777777" w:rsidR="003F59E0" w:rsidRPr="003F59E0" w:rsidRDefault="003F59E0" w:rsidP="003F59E0">
            <w:pPr>
              <w:rPr>
                <w:rFonts w:cstheme="minorHAnsi"/>
              </w:rPr>
            </w:pPr>
            <w:r w:rsidRPr="003F59E0">
              <w:rPr>
                <w:rFonts w:cstheme="minorHAnsi"/>
              </w:rPr>
              <w:t xml:space="preserve">Readings:  </w:t>
            </w:r>
            <w:proofErr w:type="spellStart"/>
            <w:r w:rsidRPr="003F59E0">
              <w:rPr>
                <w:rFonts w:cstheme="minorHAnsi"/>
              </w:rPr>
              <w:t>Sivadass</w:t>
            </w:r>
            <w:proofErr w:type="spellEnd"/>
            <w:r w:rsidRPr="003F59E0">
              <w:rPr>
                <w:rFonts w:cstheme="minorHAnsi"/>
              </w:rPr>
              <w:t xml:space="preserve"> </w:t>
            </w:r>
            <w:proofErr w:type="spellStart"/>
            <w:r w:rsidRPr="003F59E0">
              <w:rPr>
                <w:rFonts w:cstheme="minorHAnsi"/>
              </w:rPr>
              <w:t>Thiruchelvam</w:t>
            </w:r>
            <w:proofErr w:type="spellEnd"/>
            <w:r w:rsidRPr="003F59E0">
              <w:rPr>
                <w:rFonts w:cstheme="minorHAnsi"/>
              </w:rPr>
              <w:t xml:space="preserve"> &amp; </w:t>
            </w:r>
            <w:proofErr w:type="spellStart"/>
            <w:r w:rsidRPr="003F59E0">
              <w:rPr>
                <w:rFonts w:cstheme="minorHAnsi"/>
              </w:rPr>
              <w:t>Mohd</w:t>
            </w:r>
            <w:proofErr w:type="spellEnd"/>
            <w:r w:rsidRPr="003F59E0">
              <w:rPr>
                <w:rFonts w:cstheme="minorHAnsi"/>
              </w:rPr>
              <w:t xml:space="preserve"> </w:t>
            </w:r>
            <w:proofErr w:type="spellStart"/>
            <w:r w:rsidRPr="003F59E0">
              <w:rPr>
                <w:rFonts w:cstheme="minorHAnsi"/>
              </w:rPr>
              <w:t>Fauzi</w:t>
            </w:r>
            <w:proofErr w:type="spellEnd"/>
            <w:r w:rsidRPr="003F59E0">
              <w:rPr>
                <w:rFonts w:cstheme="minorHAnsi"/>
              </w:rPr>
              <w:t xml:space="preserve"> Ismail &amp; </w:t>
            </w:r>
            <w:proofErr w:type="spellStart"/>
            <w:r w:rsidRPr="003F59E0">
              <w:rPr>
                <w:rFonts w:cstheme="minorHAnsi"/>
              </w:rPr>
              <w:t>Azrul</w:t>
            </w:r>
            <w:proofErr w:type="spellEnd"/>
            <w:r w:rsidRPr="003F59E0">
              <w:rPr>
                <w:rFonts w:cstheme="minorHAnsi"/>
              </w:rPr>
              <w:t xml:space="preserve"> Ghazali &amp; Kamal </w:t>
            </w:r>
            <w:proofErr w:type="spellStart"/>
            <w:r w:rsidRPr="003F59E0">
              <w:rPr>
                <w:rFonts w:cstheme="minorHAnsi"/>
              </w:rPr>
              <w:t>Nasharuddin</w:t>
            </w:r>
            <w:proofErr w:type="spellEnd"/>
            <w:r w:rsidRPr="003F59E0">
              <w:rPr>
                <w:rFonts w:cstheme="minorHAnsi"/>
              </w:rPr>
              <w:t xml:space="preserve"> Mustapha &amp; </w:t>
            </w:r>
            <w:proofErr w:type="spellStart"/>
            <w:r w:rsidRPr="003F59E0">
              <w:rPr>
                <w:rFonts w:cstheme="minorHAnsi"/>
              </w:rPr>
              <w:t>Fatin</w:t>
            </w:r>
            <w:proofErr w:type="spellEnd"/>
            <w:r w:rsidRPr="003F59E0">
              <w:rPr>
                <w:rFonts w:cstheme="minorHAnsi"/>
              </w:rPr>
              <w:t xml:space="preserve"> </w:t>
            </w:r>
            <w:proofErr w:type="spellStart"/>
            <w:r w:rsidRPr="003F59E0">
              <w:rPr>
                <w:rFonts w:cstheme="minorHAnsi"/>
              </w:rPr>
              <w:t>Faiqah</w:t>
            </w:r>
            <w:proofErr w:type="spellEnd"/>
            <w:r w:rsidRPr="003F59E0">
              <w:rPr>
                <w:rFonts w:cstheme="minorHAnsi"/>
              </w:rPr>
              <w:t xml:space="preserve"> </w:t>
            </w:r>
            <w:proofErr w:type="spellStart"/>
            <w:r w:rsidRPr="003F59E0">
              <w:rPr>
                <w:rFonts w:cstheme="minorHAnsi"/>
              </w:rPr>
              <w:t>Norkhair</w:t>
            </w:r>
            <w:proofErr w:type="spellEnd"/>
            <w:r w:rsidRPr="003F59E0">
              <w:rPr>
                <w:rFonts w:cstheme="minorHAnsi"/>
              </w:rPr>
              <w:t xml:space="preserve"> &amp; Nora Yahya &amp; Abdul Aziz Mat Isa &amp; Zakaria Che Muda, 2018. "Development of Humanitarian Supply Chain Performance Conceptual Framework in Creating Resilient Logistics Network," Malaysian Journal of Geosciences (MJG), Zibeline International Publishing, vol. 2(1), pages 30-33, January.</w:t>
            </w:r>
          </w:p>
          <w:p w14:paraId="4D59D568" w14:textId="77777777" w:rsidR="003F59E0" w:rsidRPr="003F59E0" w:rsidRDefault="003F59E0" w:rsidP="003F59E0">
            <w:pPr>
              <w:rPr>
                <w:rFonts w:cstheme="minorHAnsi"/>
              </w:rPr>
            </w:pPr>
          </w:p>
          <w:p w14:paraId="0A5CD472" w14:textId="77777777" w:rsidR="003F59E0" w:rsidRPr="003F59E0" w:rsidRDefault="003F59E0" w:rsidP="003F59E0">
            <w:pPr>
              <w:rPr>
                <w:rFonts w:cstheme="minorHAnsi"/>
              </w:rPr>
            </w:pPr>
            <w:r w:rsidRPr="003F59E0">
              <w:rPr>
                <w:rFonts w:cstheme="minorHAnsi"/>
              </w:rPr>
              <w:t>Y. Jiang, Y. Yuan, K. Huang and L. Zhao, "Logistics for Large-Scale Disaster Response: Achievements and Challenges," 2012 45th Hawaii International Conference on System Sciences, Maui, HI, 2012, pp. 1277-1285.</w:t>
            </w:r>
          </w:p>
          <w:p w14:paraId="7C223DD2" w14:textId="264ECED7" w:rsidR="00FD6E5C" w:rsidRPr="0095643D" w:rsidRDefault="003F59E0" w:rsidP="003F59E0">
            <w:pPr>
              <w:rPr>
                <w:rFonts w:cstheme="minorHAnsi"/>
              </w:rPr>
            </w:pPr>
            <w:proofErr w:type="spellStart"/>
            <w:r w:rsidRPr="003F59E0">
              <w:rPr>
                <w:rFonts w:cstheme="minorHAnsi"/>
              </w:rPr>
              <w:t>doi</w:t>
            </w:r>
            <w:proofErr w:type="spellEnd"/>
            <w:r w:rsidRPr="003F59E0">
              <w:rPr>
                <w:rFonts w:cstheme="minorHAnsi"/>
              </w:rPr>
              <w:t>: 10.1109/HICSS.2012.418</w:t>
            </w:r>
          </w:p>
        </w:tc>
        <w:tc>
          <w:tcPr>
            <w:tcW w:w="2394" w:type="dxa"/>
          </w:tcPr>
          <w:p w14:paraId="48AA9CC5" w14:textId="25410DEE" w:rsidR="00FD6E5C" w:rsidRPr="0095643D" w:rsidRDefault="00052071" w:rsidP="00FD6E5C">
            <w:pPr>
              <w:jc w:val="center"/>
              <w:rPr>
                <w:rFonts w:cstheme="minorHAnsi"/>
              </w:rPr>
            </w:pPr>
            <w:r w:rsidRPr="00052071">
              <w:rPr>
                <w:rFonts w:cstheme="minorHAnsi"/>
              </w:rPr>
              <w:t>Individual case studies due (40%)</w:t>
            </w:r>
          </w:p>
        </w:tc>
      </w:tr>
      <w:tr w:rsidR="00FD6E5C" w:rsidRPr="0095643D" w14:paraId="14B0A722" w14:textId="77777777" w:rsidTr="00587B5D">
        <w:tc>
          <w:tcPr>
            <w:tcW w:w="1278" w:type="dxa"/>
          </w:tcPr>
          <w:p w14:paraId="2CB54FB1" w14:textId="77777777" w:rsidR="00FD6E5C" w:rsidRPr="0095643D" w:rsidRDefault="00FD6E5C" w:rsidP="00FD6E5C">
            <w:pPr>
              <w:jc w:val="center"/>
              <w:rPr>
                <w:rFonts w:cstheme="minorHAnsi"/>
              </w:rPr>
            </w:pPr>
            <w:r w:rsidRPr="0095643D">
              <w:rPr>
                <w:rFonts w:cstheme="minorHAnsi"/>
              </w:rPr>
              <w:lastRenderedPageBreak/>
              <w:t>8</w:t>
            </w:r>
          </w:p>
        </w:tc>
        <w:tc>
          <w:tcPr>
            <w:tcW w:w="1260" w:type="dxa"/>
          </w:tcPr>
          <w:p w14:paraId="42BF1649" w14:textId="39078E5C" w:rsidR="00FD6E5C" w:rsidRPr="0095643D" w:rsidRDefault="003F59E0" w:rsidP="00FD6E5C">
            <w:pPr>
              <w:jc w:val="center"/>
              <w:rPr>
                <w:rFonts w:cstheme="minorHAnsi"/>
              </w:rPr>
            </w:pPr>
            <w:r>
              <w:rPr>
                <w:rFonts w:cstheme="minorHAnsi"/>
              </w:rPr>
              <w:t>8</w:t>
            </w:r>
            <w:r w:rsidR="00FD6E5C">
              <w:rPr>
                <w:rFonts w:cstheme="minorHAnsi"/>
              </w:rPr>
              <w:t xml:space="preserve"> Mar 20</w:t>
            </w:r>
          </w:p>
        </w:tc>
        <w:tc>
          <w:tcPr>
            <w:tcW w:w="4644" w:type="dxa"/>
          </w:tcPr>
          <w:p w14:paraId="24C85630" w14:textId="77777777" w:rsidR="003F59E0" w:rsidRPr="003F59E0" w:rsidRDefault="003F59E0" w:rsidP="003F59E0">
            <w:pPr>
              <w:rPr>
                <w:rFonts w:cstheme="minorHAnsi"/>
              </w:rPr>
            </w:pPr>
            <w:r w:rsidRPr="003F59E0">
              <w:rPr>
                <w:rFonts w:cstheme="minorHAnsi"/>
              </w:rPr>
              <w:t>Responding to disasters – 1st responders, reinforcements, need for self-sufficiency ongoing sustainment – planning considerations to avoid drawing resources from impacted community</w:t>
            </w:r>
          </w:p>
          <w:p w14:paraId="349F29F5" w14:textId="77777777" w:rsidR="003F59E0" w:rsidRPr="003F59E0" w:rsidRDefault="003F59E0" w:rsidP="003F59E0">
            <w:pPr>
              <w:rPr>
                <w:rFonts w:cstheme="minorHAnsi"/>
              </w:rPr>
            </w:pPr>
          </w:p>
          <w:p w14:paraId="43278D32" w14:textId="59197086" w:rsidR="00FD6E5C" w:rsidRPr="0095643D" w:rsidRDefault="003F59E0" w:rsidP="003F59E0">
            <w:pPr>
              <w:rPr>
                <w:rFonts w:cstheme="minorHAnsi"/>
              </w:rPr>
            </w:pPr>
            <w:r w:rsidRPr="003F59E0">
              <w:rPr>
                <w:rFonts w:cstheme="minorHAnsi"/>
              </w:rPr>
              <w:t xml:space="preserve">Readings: </w:t>
            </w:r>
            <w:proofErr w:type="spellStart"/>
            <w:r w:rsidRPr="003F59E0">
              <w:rPr>
                <w:rFonts w:cstheme="minorHAnsi"/>
              </w:rPr>
              <w:t>Broby</w:t>
            </w:r>
            <w:proofErr w:type="spellEnd"/>
            <w:r w:rsidRPr="003F59E0">
              <w:rPr>
                <w:rFonts w:cstheme="minorHAnsi"/>
              </w:rPr>
              <w:t xml:space="preserve">, N., </w:t>
            </w:r>
            <w:proofErr w:type="spellStart"/>
            <w:r w:rsidRPr="003F59E0">
              <w:rPr>
                <w:rFonts w:cstheme="minorHAnsi"/>
              </w:rPr>
              <w:t>Lassetter</w:t>
            </w:r>
            <w:proofErr w:type="spellEnd"/>
            <w:r w:rsidRPr="003F59E0">
              <w:rPr>
                <w:rFonts w:cstheme="minorHAnsi"/>
              </w:rPr>
              <w:t>, J., Williams, M., &amp; Winters, B. (2018). Effective International Medical Disaster Relief: A Qualitative Descriptive Study. “Prehospital and Disaster Medicine”, 119-126. doi:10.1017/S1049023X18000225</w:t>
            </w:r>
          </w:p>
        </w:tc>
        <w:tc>
          <w:tcPr>
            <w:tcW w:w="2394" w:type="dxa"/>
          </w:tcPr>
          <w:p w14:paraId="5F6083E4" w14:textId="45ADBDA7" w:rsidR="00FD6E5C" w:rsidRPr="0095643D" w:rsidRDefault="00FD6E5C" w:rsidP="00FD6E5C">
            <w:pPr>
              <w:jc w:val="center"/>
              <w:rPr>
                <w:rFonts w:cstheme="minorHAnsi"/>
              </w:rPr>
            </w:pPr>
          </w:p>
        </w:tc>
      </w:tr>
      <w:tr w:rsidR="00FD6E5C" w:rsidRPr="0095643D" w14:paraId="24C788F8" w14:textId="77777777" w:rsidTr="00587B5D">
        <w:tc>
          <w:tcPr>
            <w:tcW w:w="1278" w:type="dxa"/>
          </w:tcPr>
          <w:p w14:paraId="58088D01" w14:textId="77777777" w:rsidR="00FD6E5C" w:rsidRPr="0095643D" w:rsidRDefault="00FD6E5C" w:rsidP="00FD6E5C">
            <w:pPr>
              <w:jc w:val="center"/>
              <w:rPr>
                <w:rFonts w:cstheme="minorHAnsi"/>
              </w:rPr>
            </w:pPr>
            <w:r w:rsidRPr="0095643D">
              <w:rPr>
                <w:rFonts w:cstheme="minorHAnsi"/>
              </w:rPr>
              <w:t>9</w:t>
            </w:r>
          </w:p>
        </w:tc>
        <w:tc>
          <w:tcPr>
            <w:tcW w:w="1260" w:type="dxa"/>
          </w:tcPr>
          <w:p w14:paraId="5B164E68" w14:textId="34AF1188" w:rsidR="00FD6E5C" w:rsidRPr="0095643D" w:rsidRDefault="00FD6E5C" w:rsidP="00FD6E5C">
            <w:pPr>
              <w:jc w:val="center"/>
              <w:rPr>
                <w:rFonts w:cstheme="minorHAnsi"/>
              </w:rPr>
            </w:pPr>
            <w:r>
              <w:rPr>
                <w:rFonts w:cstheme="minorHAnsi"/>
              </w:rPr>
              <w:t>1</w:t>
            </w:r>
            <w:r w:rsidR="003F59E0">
              <w:rPr>
                <w:rFonts w:cstheme="minorHAnsi"/>
              </w:rPr>
              <w:t>5</w:t>
            </w:r>
            <w:r>
              <w:rPr>
                <w:rFonts w:cstheme="minorHAnsi"/>
              </w:rPr>
              <w:t xml:space="preserve"> Mar 20</w:t>
            </w:r>
          </w:p>
        </w:tc>
        <w:tc>
          <w:tcPr>
            <w:tcW w:w="4644" w:type="dxa"/>
          </w:tcPr>
          <w:p w14:paraId="3585A301" w14:textId="2410C289" w:rsidR="00FD6E5C" w:rsidRPr="0095643D" w:rsidRDefault="003F59E0" w:rsidP="003F59E0">
            <w:pPr>
              <w:rPr>
                <w:rFonts w:cstheme="minorHAnsi"/>
              </w:rPr>
            </w:pPr>
            <w:r>
              <w:rPr>
                <w:rFonts w:cstheme="minorHAnsi"/>
              </w:rPr>
              <w:t>Guest Lecturer</w:t>
            </w:r>
          </w:p>
        </w:tc>
        <w:tc>
          <w:tcPr>
            <w:tcW w:w="2394" w:type="dxa"/>
          </w:tcPr>
          <w:p w14:paraId="62CB1A94" w14:textId="77777777" w:rsidR="00FD6E5C" w:rsidRPr="0095643D" w:rsidRDefault="00FD6E5C" w:rsidP="00FD6E5C">
            <w:pPr>
              <w:jc w:val="center"/>
              <w:rPr>
                <w:rFonts w:cstheme="minorHAnsi"/>
              </w:rPr>
            </w:pPr>
          </w:p>
        </w:tc>
      </w:tr>
      <w:tr w:rsidR="00FD6E5C" w:rsidRPr="0095643D" w14:paraId="28E1755C" w14:textId="77777777" w:rsidTr="00587B5D">
        <w:tc>
          <w:tcPr>
            <w:tcW w:w="1278" w:type="dxa"/>
          </w:tcPr>
          <w:p w14:paraId="15DE4679" w14:textId="77777777" w:rsidR="00FD6E5C" w:rsidRPr="0095643D" w:rsidRDefault="00FD6E5C" w:rsidP="00FD6E5C">
            <w:pPr>
              <w:jc w:val="center"/>
              <w:rPr>
                <w:rFonts w:cstheme="minorHAnsi"/>
              </w:rPr>
            </w:pPr>
            <w:r w:rsidRPr="0095643D">
              <w:rPr>
                <w:rFonts w:cstheme="minorHAnsi"/>
              </w:rPr>
              <w:t>10</w:t>
            </w:r>
          </w:p>
        </w:tc>
        <w:tc>
          <w:tcPr>
            <w:tcW w:w="1260" w:type="dxa"/>
          </w:tcPr>
          <w:p w14:paraId="0B42422A" w14:textId="2D9930D7" w:rsidR="00FD6E5C" w:rsidRPr="0095643D" w:rsidRDefault="00FD6E5C" w:rsidP="00FD6E5C">
            <w:pPr>
              <w:jc w:val="center"/>
              <w:rPr>
                <w:rFonts w:cstheme="minorHAnsi"/>
              </w:rPr>
            </w:pPr>
            <w:r>
              <w:rPr>
                <w:rFonts w:cstheme="minorHAnsi"/>
              </w:rPr>
              <w:t>2</w:t>
            </w:r>
            <w:r w:rsidR="003F59E0">
              <w:rPr>
                <w:rFonts w:cstheme="minorHAnsi"/>
              </w:rPr>
              <w:t>2</w:t>
            </w:r>
            <w:r>
              <w:rPr>
                <w:rFonts w:cstheme="minorHAnsi"/>
              </w:rPr>
              <w:t xml:space="preserve"> Mar 21</w:t>
            </w:r>
          </w:p>
        </w:tc>
        <w:tc>
          <w:tcPr>
            <w:tcW w:w="4644" w:type="dxa"/>
          </w:tcPr>
          <w:p w14:paraId="3D93F263" w14:textId="77777777" w:rsidR="003F59E0" w:rsidRPr="003F59E0" w:rsidRDefault="003F59E0" w:rsidP="003F59E0">
            <w:pPr>
              <w:rPr>
                <w:rFonts w:cstheme="minorHAnsi"/>
              </w:rPr>
            </w:pPr>
            <w:r w:rsidRPr="003F59E0">
              <w:rPr>
                <w:rFonts w:cstheme="minorHAnsi"/>
              </w:rPr>
              <w:t>Managing emergency stocks, pre-positioned holdings – rotation of materials, emergency supplies and equipment to allow emergency responders to succeed</w:t>
            </w:r>
          </w:p>
          <w:p w14:paraId="6FC68B0A" w14:textId="77777777" w:rsidR="003F59E0" w:rsidRPr="003F59E0" w:rsidRDefault="003F59E0" w:rsidP="003F59E0">
            <w:pPr>
              <w:rPr>
                <w:rFonts w:cstheme="minorHAnsi"/>
              </w:rPr>
            </w:pPr>
          </w:p>
          <w:p w14:paraId="2ED0FEFD" w14:textId="77777777" w:rsidR="003F59E0" w:rsidRPr="003F59E0" w:rsidRDefault="003F59E0" w:rsidP="003F59E0">
            <w:pPr>
              <w:rPr>
                <w:rFonts w:cstheme="minorHAnsi"/>
              </w:rPr>
            </w:pPr>
            <w:r w:rsidRPr="003F59E0">
              <w:rPr>
                <w:rFonts w:cstheme="minorHAnsi"/>
              </w:rPr>
              <w:t xml:space="preserve">Readings: Walid </w:t>
            </w:r>
            <w:proofErr w:type="spellStart"/>
            <w:r w:rsidRPr="003F59E0">
              <w:rPr>
                <w:rFonts w:cstheme="minorHAnsi"/>
              </w:rPr>
              <w:t>Klibi</w:t>
            </w:r>
            <w:proofErr w:type="spellEnd"/>
            <w:r w:rsidRPr="003F59E0">
              <w:rPr>
                <w:rFonts w:cstheme="minorHAnsi"/>
              </w:rPr>
              <w:t xml:space="preserve">, </w:t>
            </w:r>
            <w:proofErr w:type="spellStart"/>
            <w:r w:rsidRPr="003F59E0">
              <w:rPr>
                <w:rFonts w:cstheme="minorHAnsi"/>
              </w:rPr>
              <w:t>Soumia</w:t>
            </w:r>
            <w:proofErr w:type="spellEnd"/>
            <w:r w:rsidRPr="003F59E0">
              <w:rPr>
                <w:rFonts w:cstheme="minorHAnsi"/>
              </w:rPr>
              <w:t xml:space="preserve"> </w:t>
            </w:r>
            <w:proofErr w:type="spellStart"/>
            <w:r w:rsidRPr="003F59E0">
              <w:rPr>
                <w:rFonts w:cstheme="minorHAnsi"/>
              </w:rPr>
              <w:t>Ichoua</w:t>
            </w:r>
            <w:proofErr w:type="spellEnd"/>
            <w:r w:rsidRPr="003F59E0">
              <w:rPr>
                <w:rFonts w:cstheme="minorHAnsi"/>
              </w:rPr>
              <w:t xml:space="preserve"> &amp; Alain Martel (2018) Prepositioning emergency supplies to support disaster relief: a case study using stochastic programming, INFOR: Information Systems and Operational Research, 56:1, 50-81, DOI: 10.1080/03155986.2017.1335045</w:t>
            </w:r>
          </w:p>
          <w:p w14:paraId="22D2E93B" w14:textId="77777777" w:rsidR="003F59E0" w:rsidRPr="003F59E0" w:rsidRDefault="003F59E0" w:rsidP="003F59E0">
            <w:pPr>
              <w:rPr>
                <w:rFonts w:cstheme="minorHAnsi"/>
              </w:rPr>
            </w:pPr>
          </w:p>
          <w:p w14:paraId="6392F152" w14:textId="104A548D" w:rsidR="00FD6E5C" w:rsidRPr="0095643D" w:rsidRDefault="003F59E0" w:rsidP="003F59E0">
            <w:pPr>
              <w:rPr>
                <w:rFonts w:cstheme="minorHAnsi"/>
              </w:rPr>
            </w:pPr>
            <w:r w:rsidRPr="003F59E0">
              <w:rPr>
                <w:rFonts w:cstheme="minorHAnsi"/>
              </w:rPr>
              <w:t>Samantha Jo Roth, (2019), DORIAN: FEMA Working Around Clock to Prepare for Storm, Spectrum News, August 28, 2019</w:t>
            </w:r>
          </w:p>
        </w:tc>
        <w:tc>
          <w:tcPr>
            <w:tcW w:w="2394" w:type="dxa"/>
          </w:tcPr>
          <w:p w14:paraId="1740B80C" w14:textId="77777777" w:rsidR="00FD6E5C" w:rsidRPr="0095643D" w:rsidRDefault="00FD6E5C" w:rsidP="00FD6E5C">
            <w:pPr>
              <w:jc w:val="center"/>
              <w:rPr>
                <w:rFonts w:cstheme="minorHAnsi"/>
              </w:rPr>
            </w:pPr>
          </w:p>
        </w:tc>
      </w:tr>
      <w:tr w:rsidR="00FD6E5C" w:rsidRPr="0095643D" w14:paraId="489CDCB2" w14:textId="77777777" w:rsidTr="00587B5D">
        <w:tc>
          <w:tcPr>
            <w:tcW w:w="1278" w:type="dxa"/>
          </w:tcPr>
          <w:p w14:paraId="6C600B75" w14:textId="77777777" w:rsidR="00FD6E5C" w:rsidRPr="0095643D" w:rsidRDefault="00FD6E5C" w:rsidP="00FD6E5C">
            <w:pPr>
              <w:jc w:val="center"/>
              <w:rPr>
                <w:rFonts w:cstheme="minorHAnsi"/>
              </w:rPr>
            </w:pPr>
            <w:r w:rsidRPr="0095643D">
              <w:rPr>
                <w:rFonts w:cstheme="minorHAnsi"/>
              </w:rPr>
              <w:t>11</w:t>
            </w:r>
          </w:p>
        </w:tc>
        <w:tc>
          <w:tcPr>
            <w:tcW w:w="1260" w:type="dxa"/>
          </w:tcPr>
          <w:p w14:paraId="3BA47AD2" w14:textId="281F5F06" w:rsidR="00FD6E5C" w:rsidRPr="0095643D" w:rsidRDefault="003F59E0" w:rsidP="00FD6E5C">
            <w:pPr>
              <w:jc w:val="center"/>
              <w:rPr>
                <w:rFonts w:cstheme="minorHAnsi"/>
              </w:rPr>
            </w:pPr>
            <w:r>
              <w:rPr>
                <w:rFonts w:cstheme="minorHAnsi"/>
              </w:rPr>
              <w:t>29</w:t>
            </w:r>
            <w:r w:rsidR="00FD6E5C">
              <w:rPr>
                <w:rFonts w:cstheme="minorHAnsi"/>
              </w:rPr>
              <w:t xml:space="preserve"> Mar 21</w:t>
            </w:r>
          </w:p>
        </w:tc>
        <w:tc>
          <w:tcPr>
            <w:tcW w:w="4644" w:type="dxa"/>
          </w:tcPr>
          <w:p w14:paraId="01F82723" w14:textId="4C065856" w:rsidR="00FD6E5C" w:rsidRDefault="003F59E0" w:rsidP="003F59E0">
            <w:pPr>
              <w:rPr>
                <w:rFonts w:cstheme="minorHAnsi"/>
              </w:rPr>
            </w:pPr>
            <w:r>
              <w:rPr>
                <w:rFonts w:cstheme="minorHAnsi"/>
              </w:rPr>
              <w:t>Long Term Disasters – Pandemics, long term recovery operations.</w:t>
            </w:r>
          </w:p>
          <w:p w14:paraId="2A77B65B" w14:textId="4D9B961A" w:rsidR="00052071" w:rsidRDefault="00052071" w:rsidP="003F59E0">
            <w:pPr>
              <w:rPr>
                <w:rFonts w:cstheme="minorHAnsi"/>
              </w:rPr>
            </w:pPr>
          </w:p>
          <w:p w14:paraId="64DA4380" w14:textId="06B31A94" w:rsidR="00052071" w:rsidRDefault="00052071" w:rsidP="003F59E0">
            <w:pPr>
              <w:rPr>
                <w:rFonts w:cstheme="minorHAnsi"/>
              </w:rPr>
            </w:pPr>
            <w:r>
              <w:rPr>
                <w:rFonts w:cstheme="minorHAnsi"/>
              </w:rPr>
              <w:t>Readings: TBC</w:t>
            </w:r>
          </w:p>
          <w:p w14:paraId="751B077B" w14:textId="77777777" w:rsidR="003F59E0" w:rsidRDefault="003F59E0" w:rsidP="003F59E0">
            <w:pPr>
              <w:rPr>
                <w:rFonts w:cstheme="minorHAnsi"/>
              </w:rPr>
            </w:pPr>
          </w:p>
          <w:p w14:paraId="00A58144" w14:textId="28022390" w:rsidR="003F59E0" w:rsidRPr="0095643D" w:rsidRDefault="003F59E0" w:rsidP="003F59E0">
            <w:pPr>
              <w:rPr>
                <w:rFonts w:cstheme="minorHAnsi"/>
              </w:rPr>
            </w:pPr>
          </w:p>
        </w:tc>
        <w:tc>
          <w:tcPr>
            <w:tcW w:w="2394" w:type="dxa"/>
          </w:tcPr>
          <w:p w14:paraId="685CBBC8" w14:textId="77777777" w:rsidR="00FD6E5C" w:rsidRPr="0095643D" w:rsidRDefault="00FD6E5C" w:rsidP="00FD6E5C">
            <w:pPr>
              <w:jc w:val="center"/>
              <w:rPr>
                <w:rFonts w:cstheme="minorHAnsi"/>
              </w:rPr>
            </w:pPr>
          </w:p>
        </w:tc>
      </w:tr>
      <w:tr w:rsidR="00FD6E5C" w:rsidRPr="0095643D" w14:paraId="1707F213" w14:textId="77777777" w:rsidTr="00587B5D">
        <w:tc>
          <w:tcPr>
            <w:tcW w:w="1278" w:type="dxa"/>
          </w:tcPr>
          <w:p w14:paraId="44CB7354" w14:textId="77777777" w:rsidR="00FD6E5C" w:rsidRPr="0095643D" w:rsidRDefault="00FD6E5C" w:rsidP="00FD6E5C">
            <w:pPr>
              <w:jc w:val="center"/>
              <w:rPr>
                <w:rFonts w:cstheme="minorHAnsi"/>
              </w:rPr>
            </w:pPr>
            <w:r w:rsidRPr="0095643D">
              <w:rPr>
                <w:rFonts w:cstheme="minorHAnsi"/>
              </w:rPr>
              <w:t>12</w:t>
            </w:r>
          </w:p>
        </w:tc>
        <w:tc>
          <w:tcPr>
            <w:tcW w:w="1260" w:type="dxa"/>
          </w:tcPr>
          <w:p w14:paraId="4C142F1D" w14:textId="55CA7459" w:rsidR="00FD6E5C" w:rsidRPr="0095643D" w:rsidRDefault="003F59E0" w:rsidP="00FD6E5C">
            <w:pPr>
              <w:jc w:val="center"/>
              <w:rPr>
                <w:rFonts w:cstheme="minorHAnsi"/>
              </w:rPr>
            </w:pPr>
            <w:r>
              <w:rPr>
                <w:rFonts w:cstheme="minorHAnsi"/>
              </w:rPr>
              <w:t>5</w:t>
            </w:r>
            <w:r w:rsidR="00FD6E5C">
              <w:rPr>
                <w:rFonts w:cstheme="minorHAnsi"/>
              </w:rPr>
              <w:t xml:space="preserve"> Apr 21</w:t>
            </w:r>
          </w:p>
        </w:tc>
        <w:tc>
          <w:tcPr>
            <w:tcW w:w="4644" w:type="dxa"/>
          </w:tcPr>
          <w:p w14:paraId="3D603DF5" w14:textId="5B65DB70" w:rsidR="00FD6E5C" w:rsidRPr="0095643D" w:rsidRDefault="0034004E" w:rsidP="00FD6E5C">
            <w:pPr>
              <w:rPr>
                <w:rFonts w:cstheme="minorHAnsi"/>
              </w:rPr>
            </w:pPr>
            <w:r>
              <w:rPr>
                <w:rFonts w:cstheme="minorHAnsi"/>
              </w:rPr>
              <w:t>Wrapping Up – Class Review</w:t>
            </w:r>
          </w:p>
        </w:tc>
        <w:tc>
          <w:tcPr>
            <w:tcW w:w="2394" w:type="dxa"/>
          </w:tcPr>
          <w:p w14:paraId="3035B25A" w14:textId="3E7F03D8" w:rsidR="00FD6E5C" w:rsidRPr="0095643D" w:rsidRDefault="00FD6E5C" w:rsidP="00FD6E5C">
            <w:pPr>
              <w:jc w:val="center"/>
              <w:rPr>
                <w:rFonts w:cstheme="minorHAnsi"/>
              </w:rPr>
            </w:pPr>
          </w:p>
        </w:tc>
      </w:tr>
      <w:tr w:rsidR="00052071" w:rsidRPr="0095643D" w14:paraId="0C5B03C0" w14:textId="77777777" w:rsidTr="00587B5D">
        <w:tc>
          <w:tcPr>
            <w:tcW w:w="1278" w:type="dxa"/>
          </w:tcPr>
          <w:p w14:paraId="55C3A1BC" w14:textId="77777777" w:rsidR="00052071" w:rsidRPr="0095643D" w:rsidRDefault="00052071" w:rsidP="00FD6E5C">
            <w:pPr>
              <w:jc w:val="center"/>
              <w:rPr>
                <w:rFonts w:cstheme="minorHAnsi"/>
              </w:rPr>
            </w:pPr>
          </w:p>
        </w:tc>
        <w:tc>
          <w:tcPr>
            <w:tcW w:w="1260" w:type="dxa"/>
          </w:tcPr>
          <w:p w14:paraId="4D20950B" w14:textId="0C1AAB95" w:rsidR="00052071" w:rsidRDefault="00052071" w:rsidP="00FD6E5C">
            <w:pPr>
              <w:jc w:val="center"/>
              <w:rPr>
                <w:rFonts w:cstheme="minorHAnsi"/>
              </w:rPr>
            </w:pPr>
            <w:r>
              <w:rPr>
                <w:rFonts w:cstheme="minorHAnsi"/>
              </w:rPr>
              <w:t>TBC</w:t>
            </w:r>
          </w:p>
        </w:tc>
        <w:tc>
          <w:tcPr>
            <w:tcW w:w="4644" w:type="dxa"/>
          </w:tcPr>
          <w:p w14:paraId="7602A87A" w14:textId="6A3D482A" w:rsidR="00052071" w:rsidRDefault="00052071" w:rsidP="00FD6E5C">
            <w:pPr>
              <w:rPr>
                <w:rFonts w:cstheme="minorHAnsi"/>
              </w:rPr>
            </w:pPr>
            <w:r>
              <w:rPr>
                <w:rFonts w:cstheme="minorHAnsi"/>
              </w:rPr>
              <w:t>Final Exam</w:t>
            </w:r>
          </w:p>
        </w:tc>
        <w:tc>
          <w:tcPr>
            <w:tcW w:w="2394" w:type="dxa"/>
          </w:tcPr>
          <w:p w14:paraId="5F063639" w14:textId="77777777" w:rsidR="00052071" w:rsidRPr="0095643D" w:rsidRDefault="00052071" w:rsidP="00FD6E5C">
            <w:pPr>
              <w:jc w:val="center"/>
              <w:rPr>
                <w:rFonts w:cstheme="minorHAnsi"/>
              </w:rPr>
            </w:pPr>
          </w:p>
        </w:tc>
      </w:tr>
    </w:tbl>
    <w:p w14:paraId="26DE9267" w14:textId="32886023" w:rsidR="00587B5D" w:rsidRDefault="00587B5D"/>
    <w:p w14:paraId="01B7DA71" w14:textId="77777777" w:rsidR="00E5513C" w:rsidRPr="00E5513C" w:rsidRDefault="00E5513C" w:rsidP="00E5513C">
      <w:pPr>
        <w:rPr>
          <w:u w:val="single"/>
        </w:rPr>
      </w:pPr>
      <w:r w:rsidRPr="00E5513C">
        <w:rPr>
          <w:u w:val="single"/>
        </w:rPr>
        <w:t>RELEVANT UNIVERSITY/LA&amp;PS/SCHOOL REGULATIONS</w:t>
      </w:r>
    </w:p>
    <w:p w14:paraId="0543D428" w14:textId="77777777" w:rsidR="00E5513C" w:rsidRPr="00E5513C" w:rsidRDefault="00E5513C" w:rsidP="00E5513C">
      <w:r w:rsidRPr="00E5513C">
        <w:t>Applicable to all ADMS and DEMS courses</w:t>
      </w:r>
    </w:p>
    <w:p w14:paraId="162EB15E" w14:textId="77777777" w:rsidR="00E5513C" w:rsidRPr="00E5513C" w:rsidRDefault="00E5513C" w:rsidP="00E5513C">
      <w:r w:rsidRPr="00E5513C">
        <w:t>Deferred Final Exams: Deferred standing may be granted to students who are unable to write their final examination at the scheduled time or to submit their outstanding course work on the last day of classes. Details can be found at http://myacademicrecord.students.yorku.ca/deferred-standing</w:t>
      </w:r>
    </w:p>
    <w:p w14:paraId="18571B6A" w14:textId="77777777" w:rsidR="00E5513C" w:rsidRPr="00E5513C" w:rsidRDefault="00E5513C" w:rsidP="00E5513C">
      <w:r w:rsidRPr="00E5513C">
        <w:t xml:space="preserve">Any request for deferred standing on medical grounds must include an Attending Physician's Statement form; a “Doctor’s Note” will not be accepted. DSA Form: </w:t>
      </w:r>
      <w:r w:rsidRPr="00E5513C">
        <w:lastRenderedPageBreak/>
        <w:t>http://www.registrar.yorku.ca/pdf/deferred_standing_agreement.pdf Attending Physician's Statement form: http://registrar.yorku.ca/pdf/attending-physicians-statement.pdf</w:t>
      </w:r>
    </w:p>
    <w:p w14:paraId="60C3658B" w14:textId="77777777" w:rsidR="00E5513C" w:rsidRPr="00E5513C" w:rsidRDefault="00E5513C" w:rsidP="00E5513C">
      <w:r w:rsidRPr="00E5513C">
        <w:t>In order to apply for deferred standing, students must register at: http://sas-app.laps.yorku.ca</w:t>
      </w:r>
    </w:p>
    <w:p w14:paraId="431B7840" w14:textId="77777777" w:rsidR="00E5513C" w:rsidRPr="00E5513C" w:rsidRDefault="00E5513C" w:rsidP="00E5513C">
      <w:r w:rsidRPr="00E5513C">
        <w:t xml:space="preserve">Followed by handing in a completed original Deferred Standing Agreement (DSA) form and supporting documentation directly to the main office of the School of Administrative Studies (282 Atkinson) and add your ticket number to the DSA form. </w:t>
      </w:r>
      <w:bookmarkStart w:id="0" w:name="_GoBack"/>
      <w:r w:rsidRPr="007E480C">
        <w:rPr>
          <w:b/>
          <w:bCs/>
          <w:u w:val="single"/>
        </w:rPr>
        <w:t xml:space="preserve">During this time of remote learning, you will be required to submit the forms via email to apsas@yorku.ca. </w:t>
      </w:r>
      <w:bookmarkEnd w:id="0"/>
      <w:r w:rsidRPr="00E5513C">
        <w:t>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14:paraId="0FE0FCE1" w14:textId="77777777" w:rsidR="00E5513C" w:rsidRPr="00E5513C" w:rsidRDefault="00E5513C" w:rsidP="00E5513C">
      <w:r w:rsidRPr="00E5513C">
        <w:t>Students with approved DSA will be able to write their deferred examination during the School's deferred examination period. Deferred exams might take place during the regular exams period or in subsequent weeks depending on the course;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14:paraId="4551FE1C" w14:textId="77777777" w:rsidR="00E5513C" w:rsidRPr="00E5513C" w:rsidRDefault="00E5513C" w:rsidP="00E5513C">
      <w:r w:rsidRPr="00E5513C">
        <w:t xml:space="preserve">Academic Honesty: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E5513C">
        <w:t>investigated</w:t>
      </w:r>
      <w:proofErr w:type="gramEnd"/>
      <w:r w:rsidRPr="00E5513C">
        <w:t xml:space="preserve"> and charges shall be laid if reasonable and probable grounds exist.</w:t>
      </w:r>
    </w:p>
    <w:p w14:paraId="758E3EC0" w14:textId="77777777" w:rsidR="00E5513C" w:rsidRPr="00E5513C" w:rsidRDefault="00E5513C" w:rsidP="00E5513C">
      <w:r w:rsidRPr="00E5513C">
        <w:t>Students should review the York Academic Honesty policy for themselves at: http://www.yorku.ca/secretariat/policies/document.php?document=69</w:t>
      </w:r>
    </w:p>
    <w:p w14:paraId="6D0A4FFF" w14:textId="77777777" w:rsidR="00E5513C" w:rsidRPr="00E5513C" w:rsidRDefault="00E5513C" w:rsidP="00E5513C">
      <w:r w:rsidRPr="00E5513C">
        <w:t xml:space="preserve">Students might also wish to review the interactive on-line Tutorial for students on academic integrity, </w:t>
      </w:r>
      <w:proofErr w:type="gramStart"/>
      <w:r w:rsidRPr="00E5513C">
        <w:t>at:https://spark.library.yorku.ca/academic-integrity-what-is-academic-integrity/</w:t>
      </w:r>
      <w:proofErr w:type="gramEnd"/>
    </w:p>
    <w:p w14:paraId="3FABDA67" w14:textId="77777777" w:rsidR="00E5513C" w:rsidRPr="00E5513C" w:rsidRDefault="00E5513C" w:rsidP="00E5513C">
      <w:r w:rsidRPr="00E5513C">
        <w:t>Grading Scheme and Feedback Policy: 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3EE6897E" w14:textId="77777777" w:rsidR="00E5513C" w:rsidRPr="00E5513C" w:rsidRDefault="00E5513C" w:rsidP="00E5513C">
      <w:r w:rsidRPr="00E5513C">
        <w:lastRenderedPageBreak/>
        <w:t>Note: Under unusual and/or unforeseeable circumstances which disrupt the academic norm, instructors are expected to provide grading schemes and academic feedback in the spirit of these regulations, as soon as possible. For more information on the Grading Scheme and Feedback Policy, please visit: http://www.yorku.ca/univsec/policies/document.php?document=86</w:t>
      </w:r>
    </w:p>
    <w:p w14:paraId="2D358C14" w14:textId="77777777" w:rsidR="00E5513C" w:rsidRPr="00E5513C" w:rsidRDefault="00E5513C" w:rsidP="00E5513C">
      <w:r w:rsidRPr="00E5513C">
        <w:t>In-Class Tests and Exams - the 20% Rule: For all Undergraduate courses, except those which regularly meet on Friday evening or on a weekend, tests or exams worth more than 20% will not be held in the two weeks prior to the beginning of the official examination period. For further information on the 20% Rule, please visit: http://secretariat-policies.info.yorku.ca/policies/limits-on-the-worth-of-examinations-in-the-final-classes-of-a-term-policy/</w:t>
      </w:r>
    </w:p>
    <w:p w14:paraId="7A4BA4EB" w14:textId="77777777" w:rsidR="00E5513C" w:rsidRPr="00E5513C" w:rsidRDefault="00E5513C" w:rsidP="00E5513C">
      <w:r w:rsidRPr="00E5513C">
        <w:t>Reappraisals: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http://myacademicrecord.students.yorku.ca/grade-reappraisal-policy</w:t>
      </w:r>
    </w:p>
    <w:p w14:paraId="4302BA6A" w14:textId="77777777" w:rsidR="00E5513C" w:rsidRPr="00E5513C" w:rsidRDefault="00E5513C" w:rsidP="00E5513C">
      <w:r w:rsidRPr="00E5513C">
        <w:t>Accommodation Procedures: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http://ds.info.yorku.ca/academic-support-accomodations/</w:t>
      </w:r>
    </w:p>
    <w:p w14:paraId="5AB655D7" w14:textId="77777777" w:rsidR="00E5513C" w:rsidRPr="00E5513C" w:rsidRDefault="00E5513C" w:rsidP="00E5513C">
      <w:r w:rsidRPr="00E5513C">
        <w:t>Religious Accommodation: York University is committed to respecting the religious beliefs and practices of all members of the community and making accommodations for observances of special significance to adherents. For more information on religious accommodation, please visit: https://w2prod.sis.yorku.ca/Apps/WebObjects/cdm.woa/wa/regobs</w:t>
      </w:r>
    </w:p>
    <w:p w14:paraId="2007F113" w14:textId="77777777" w:rsidR="00E5513C" w:rsidRPr="00E5513C" w:rsidRDefault="00E5513C" w:rsidP="00E5513C">
      <w:r w:rsidRPr="00E5513C">
        <w:t>Academic Accommodation for Students with Disabilities (Senate Policy)</w:t>
      </w:r>
    </w:p>
    <w:p w14:paraId="6BB822D1" w14:textId="77777777" w:rsidR="00E5513C" w:rsidRPr="00E5513C" w:rsidRDefault="00E5513C" w:rsidP="00E5513C">
      <w:r w:rsidRPr="00E5513C">
        <w:t>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https://accessibility.students.yorku.ca</w:t>
      </w:r>
    </w:p>
    <w:p w14:paraId="121C9F9E" w14:textId="77777777" w:rsidR="00E5513C" w:rsidRPr="00E5513C" w:rsidRDefault="00E5513C" w:rsidP="00E5513C">
      <w:r w:rsidRPr="00E5513C">
        <w:t xml:space="preserve">York’s disabilities offices and the Registrar’s Office work in partnership to support alternate exam and test accommodation services for students with disabilities at the </w:t>
      </w:r>
      <w:proofErr w:type="spellStart"/>
      <w:r w:rsidRPr="00E5513C">
        <w:t>Keele</w:t>
      </w:r>
      <w:proofErr w:type="spellEnd"/>
      <w:r w:rsidRPr="00E5513C">
        <w:t xml:space="preserve"> campus. For more information on alternate exams and tests please visit http://www.yorku.ca/altexams/</w:t>
      </w:r>
    </w:p>
    <w:p w14:paraId="6F243541" w14:textId="77777777" w:rsidR="00E5513C" w:rsidRPr="00E5513C" w:rsidRDefault="00E5513C" w:rsidP="00E5513C">
      <w:r w:rsidRPr="00E5513C">
        <w:lastRenderedPageBreak/>
        <w:t>Please alert the Course Director as soon as possible should you require special accommodations.</w:t>
      </w:r>
    </w:p>
    <w:sectPr w:rsidR="00E5513C" w:rsidRPr="00E55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B5D"/>
    <w:rsid w:val="00016253"/>
    <w:rsid w:val="00052071"/>
    <w:rsid w:val="00082C22"/>
    <w:rsid w:val="001B41C6"/>
    <w:rsid w:val="0026518A"/>
    <w:rsid w:val="00273872"/>
    <w:rsid w:val="0033317F"/>
    <w:rsid w:val="0034004E"/>
    <w:rsid w:val="00381D75"/>
    <w:rsid w:val="003C17CE"/>
    <w:rsid w:val="003D0381"/>
    <w:rsid w:val="003F59E0"/>
    <w:rsid w:val="00416828"/>
    <w:rsid w:val="004A44F4"/>
    <w:rsid w:val="004C456F"/>
    <w:rsid w:val="004D1023"/>
    <w:rsid w:val="005357F1"/>
    <w:rsid w:val="00587B5D"/>
    <w:rsid w:val="00591AC1"/>
    <w:rsid w:val="005B02A9"/>
    <w:rsid w:val="005C572D"/>
    <w:rsid w:val="005E137E"/>
    <w:rsid w:val="00714FD5"/>
    <w:rsid w:val="0078216B"/>
    <w:rsid w:val="00796B18"/>
    <w:rsid w:val="007E480C"/>
    <w:rsid w:val="00844BD0"/>
    <w:rsid w:val="008935C0"/>
    <w:rsid w:val="008A52ED"/>
    <w:rsid w:val="008B5DC5"/>
    <w:rsid w:val="008F53D0"/>
    <w:rsid w:val="0095643D"/>
    <w:rsid w:val="00A0081E"/>
    <w:rsid w:val="00A04EB2"/>
    <w:rsid w:val="00AA35C8"/>
    <w:rsid w:val="00AF0312"/>
    <w:rsid w:val="00B7687D"/>
    <w:rsid w:val="00C43F77"/>
    <w:rsid w:val="00C541CC"/>
    <w:rsid w:val="00D14C18"/>
    <w:rsid w:val="00D56F7D"/>
    <w:rsid w:val="00D9512F"/>
    <w:rsid w:val="00DA11F0"/>
    <w:rsid w:val="00DD3D56"/>
    <w:rsid w:val="00DE5590"/>
    <w:rsid w:val="00DF072F"/>
    <w:rsid w:val="00E5513C"/>
    <w:rsid w:val="00E62261"/>
    <w:rsid w:val="00EE4B9C"/>
    <w:rsid w:val="00F36AD3"/>
    <w:rsid w:val="00F71AC7"/>
    <w:rsid w:val="00FC74BE"/>
    <w:rsid w:val="00FD6E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ECDD"/>
  <w15:docId w15:val="{0B185B33-2364-4F7B-9FC3-254CCAC0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56F"/>
    <w:rPr>
      <w:color w:val="0000FF" w:themeColor="hyperlink"/>
      <w:u w:val="single"/>
    </w:rPr>
  </w:style>
  <w:style w:type="character" w:styleId="FollowedHyperlink">
    <w:name w:val="FollowedHyperlink"/>
    <w:basedOn w:val="DefaultParagraphFont"/>
    <w:uiPriority w:val="99"/>
    <w:semiHidden/>
    <w:unhideWhenUsed/>
    <w:rsid w:val="00F36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50833">
      <w:bodyDiv w:val="1"/>
      <w:marLeft w:val="0"/>
      <w:marRight w:val="0"/>
      <w:marTop w:val="0"/>
      <w:marBottom w:val="0"/>
      <w:divBdr>
        <w:top w:val="none" w:sz="0" w:space="0" w:color="auto"/>
        <w:left w:val="none" w:sz="0" w:space="0" w:color="auto"/>
        <w:bottom w:val="none" w:sz="0" w:space="0" w:color="auto"/>
        <w:right w:val="none" w:sz="0" w:space="0" w:color="auto"/>
      </w:divBdr>
    </w:div>
    <w:div w:id="353924975">
      <w:bodyDiv w:val="1"/>
      <w:marLeft w:val="0"/>
      <w:marRight w:val="0"/>
      <w:marTop w:val="0"/>
      <w:marBottom w:val="0"/>
      <w:divBdr>
        <w:top w:val="none" w:sz="0" w:space="0" w:color="auto"/>
        <w:left w:val="none" w:sz="0" w:space="0" w:color="auto"/>
        <w:bottom w:val="none" w:sz="0" w:space="0" w:color="auto"/>
        <w:right w:val="none" w:sz="0" w:space="0" w:color="auto"/>
      </w:divBdr>
    </w:div>
    <w:div w:id="856122145">
      <w:bodyDiv w:val="1"/>
      <w:marLeft w:val="0"/>
      <w:marRight w:val="0"/>
      <w:marTop w:val="0"/>
      <w:marBottom w:val="0"/>
      <w:divBdr>
        <w:top w:val="none" w:sz="0" w:space="0" w:color="auto"/>
        <w:left w:val="none" w:sz="0" w:space="0" w:color="auto"/>
        <w:bottom w:val="none" w:sz="0" w:space="0" w:color="auto"/>
        <w:right w:val="none" w:sz="0" w:space="0" w:color="auto"/>
      </w:divBdr>
    </w:div>
    <w:div w:id="888565329">
      <w:bodyDiv w:val="1"/>
      <w:marLeft w:val="0"/>
      <w:marRight w:val="0"/>
      <w:marTop w:val="0"/>
      <w:marBottom w:val="0"/>
      <w:divBdr>
        <w:top w:val="none" w:sz="0" w:space="0" w:color="auto"/>
        <w:left w:val="none" w:sz="0" w:space="0" w:color="auto"/>
        <w:bottom w:val="none" w:sz="0" w:space="0" w:color="auto"/>
        <w:right w:val="none" w:sz="0" w:space="0" w:color="auto"/>
      </w:divBdr>
      <w:divsChild>
        <w:div w:id="571620369">
          <w:marLeft w:val="0"/>
          <w:marRight w:val="0"/>
          <w:marTop w:val="0"/>
          <w:marBottom w:val="0"/>
          <w:divBdr>
            <w:top w:val="none" w:sz="0" w:space="0" w:color="auto"/>
            <w:left w:val="none" w:sz="0" w:space="0" w:color="auto"/>
            <w:bottom w:val="none" w:sz="0" w:space="0" w:color="auto"/>
            <w:right w:val="none" w:sz="0" w:space="0" w:color="auto"/>
          </w:divBdr>
        </w:div>
        <w:div w:id="1755855907">
          <w:marLeft w:val="0"/>
          <w:marRight w:val="0"/>
          <w:marTop w:val="120"/>
          <w:marBottom w:val="0"/>
          <w:divBdr>
            <w:top w:val="none" w:sz="0" w:space="0" w:color="auto"/>
            <w:left w:val="none" w:sz="0" w:space="0" w:color="auto"/>
            <w:bottom w:val="none" w:sz="0" w:space="0" w:color="auto"/>
            <w:right w:val="none" w:sz="0" w:space="0" w:color="auto"/>
          </w:divBdr>
          <w:divsChild>
            <w:div w:id="123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59475">
      <w:bodyDiv w:val="1"/>
      <w:marLeft w:val="0"/>
      <w:marRight w:val="0"/>
      <w:marTop w:val="0"/>
      <w:marBottom w:val="0"/>
      <w:divBdr>
        <w:top w:val="none" w:sz="0" w:space="0" w:color="auto"/>
        <w:left w:val="none" w:sz="0" w:space="0" w:color="auto"/>
        <w:bottom w:val="none" w:sz="0" w:space="0" w:color="auto"/>
        <w:right w:val="none" w:sz="0" w:space="0" w:color="auto"/>
      </w:divBdr>
    </w:div>
    <w:div w:id="1260603953">
      <w:bodyDiv w:val="1"/>
      <w:marLeft w:val="0"/>
      <w:marRight w:val="0"/>
      <w:marTop w:val="0"/>
      <w:marBottom w:val="0"/>
      <w:divBdr>
        <w:top w:val="none" w:sz="0" w:space="0" w:color="auto"/>
        <w:left w:val="none" w:sz="0" w:space="0" w:color="auto"/>
        <w:bottom w:val="none" w:sz="0" w:space="0" w:color="auto"/>
        <w:right w:val="none" w:sz="0" w:space="0" w:color="auto"/>
      </w:divBdr>
    </w:div>
    <w:div w:id="1458837800">
      <w:bodyDiv w:val="1"/>
      <w:marLeft w:val="0"/>
      <w:marRight w:val="0"/>
      <w:marTop w:val="0"/>
      <w:marBottom w:val="0"/>
      <w:divBdr>
        <w:top w:val="none" w:sz="0" w:space="0" w:color="auto"/>
        <w:left w:val="none" w:sz="0" w:space="0" w:color="auto"/>
        <w:bottom w:val="none" w:sz="0" w:space="0" w:color="auto"/>
        <w:right w:val="none" w:sz="0" w:space="0" w:color="auto"/>
      </w:divBdr>
    </w:div>
    <w:div w:id="1463422278">
      <w:bodyDiv w:val="1"/>
      <w:marLeft w:val="0"/>
      <w:marRight w:val="0"/>
      <w:marTop w:val="0"/>
      <w:marBottom w:val="0"/>
      <w:divBdr>
        <w:top w:val="none" w:sz="0" w:space="0" w:color="auto"/>
        <w:left w:val="none" w:sz="0" w:space="0" w:color="auto"/>
        <w:bottom w:val="none" w:sz="0" w:space="0" w:color="auto"/>
        <w:right w:val="none" w:sz="0" w:space="0" w:color="auto"/>
      </w:divBdr>
    </w:div>
    <w:div w:id="1573855288">
      <w:bodyDiv w:val="1"/>
      <w:marLeft w:val="0"/>
      <w:marRight w:val="0"/>
      <w:marTop w:val="0"/>
      <w:marBottom w:val="0"/>
      <w:divBdr>
        <w:top w:val="none" w:sz="0" w:space="0" w:color="auto"/>
        <w:left w:val="none" w:sz="0" w:space="0" w:color="auto"/>
        <w:bottom w:val="none" w:sz="0" w:space="0" w:color="auto"/>
        <w:right w:val="none" w:sz="0" w:space="0" w:color="auto"/>
      </w:divBdr>
      <w:divsChild>
        <w:div w:id="517473449">
          <w:marLeft w:val="0"/>
          <w:marRight w:val="0"/>
          <w:marTop w:val="0"/>
          <w:marBottom w:val="180"/>
          <w:divBdr>
            <w:top w:val="none" w:sz="0" w:space="0" w:color="auto"/>
            <w:left w:val="none" w:sz="0" w:space="0" w:color="auto"/>
            <w:bottom w:val="none" w:sz="0" w:space="0" w:color="auto"/>
            <w:right w:val="none" w:sz="0" w:space="0" w:color="auto"/>
          </w:divBdr>
        </w:div>
      </w:divsChild>
    </w:div>
    <w:div w:id="1684162086">
      <w:bodyDiv w:val="1"/>
      <w:marLeft w:val="0"/>
      <w:marRight w:val="0"/>
      <w:marTop w:val="0"/>
      <w:marBottom w:val="0"/>
      <w:divBdr>
        <w:top w:val="none" w:sz="0" w:space="0" w:color="auto"/>
        <w:left w:val="none" w:sz="0" w:space="0" w:color="auto"/>
        <w:bottom w:val="none" w:sz="0" w:space="0" w:color="auto"/>
        <w:right w:val="none" w:sz="0" w:space="0" w:color="auto"/>
      </w:divBdr>
    </w:div>
    <w:div w:id="1820460648">
      <w:bodyDiv w:val="1"/>
      <w:marLeft w:val="0"/>
      <w:marRight w:val="0"/>
      <w:marTop w:val="0"/>
      <w:marBottom w:val="0"/>
      <w:divBdr>
        <w:top w:val="none" w:sz="0" w:space="0" w:color="auto"/>
        <w:left w:val="none" w:sz="0" w:space="0" w:color="auto"/>
        <w:bottom w:val="none" w:sz="0" w:space="0" w:color="auto"/>
        <w:right w:val="none" w:sz="0" w:space="0" w:color="auto"/>
      </w:divBdr>
    </w:div>
    <w:div w:id="1894460188">
      <w:bodyDiv w:val="1"/>
      <w:marLeft w:val="0"/>
      <w:marRight w:val="0"/>
      <w:marTop w:val="0"/>
      <w:marBottom w:val="0"/>
      <w:divBdr>
        <w:top w:val="none" w:sz="0" w:space="0" w:color="auto"/>
        <w:left w:val="none" w:sz="0" w:space="0" w:color="auto"/>
        <w:bottom w:val="none" w:sz="0" w:space="0" w:color="auto"/>
        <w:right w:val="none" w:sz="0" w:space="0" w:color="auto"/>
      </w:divBdr>
      <w:divsChild>
        <w:div w:id="1143347444">
          <w:marLeft w:val="0"/>
          <w:marRight w:val="0"/>
          <w:marTop w:val="0"/>
          <w:marBottom w:val="0"/>
          <w:divBdr>
            <w:top w:val="none" w:sz="0" w:space="0" w:color="auto"/>
            <w:left w:val="none" w:sz="0" w:space="0" w:color="auto"/>
            <w:bottom w:val="none" w:sz="0" w:space="0" w:color="auto"/>
            <w:right w:val="none" w:sz="0" w:space="0" w:color="auto"/>
          </w:divBdr>
          <w:divsChild>
            <w:div w:id="1365398252">
              <w:marLeft w:val="0"/>
              <w:marRight w:val="0"/>
              <w:marTop w:val="0"/>
              <w:marBottom w:val="0"/>
              <w:divBdr>
                <w:top w:val="none" w:sz="0" w:space="0" w:color="auto"/>
                <w:left w:val="none" w:sz="0" w:space="0" w:color="auto"/>
                <w:bottom w:val="none" w:sz="0" w:space="0" w:color="auto"/>
                <w:right w:val="none" w:sz="0" w:space="0" w:color="auto"/>
              </w:divBdr>
            </w:div>
          </w:divsChild>
        </w:div>
        <w:div w:id="84663">
          <w:marLeft w:val="0"/>
          <w:marRight w:val="0"/>
          <w:marTop w:val="0"/>
          <w:marBottom w:val="150"/>
          <w:divBdr>
            <w:top w:val="none" w:sz="0" w:space="0" w:color="auto"/>
            <w:left w:val="none" w:sz="0" w:space="0" w:color="auto"/>
            <w:bottom w:val="none" w:sz="0" w:space="0" w:color="auto"/>
            <w:right w:val="none" w:sz="0" w:space="0" w:color="auto"/>
          </w:divBdr>
          <w:divsChild>
            <w:div w:id="2034500812">
              <w:marLeft w:val="0"/>
              <w:marRight w:val="0"/>
              <w:marTop w:val="0"/>
              <w:marBottom w:val="0"/>
              <w:divBdr>
                <w:top w:val="none" w:sz="0" w:space="0" w:color="auto"/>
                <w:left w:val="none" w:sz="0" w:space="0" w:color="auto"/>
                <w:bottom w:val="none" w:sz="0" w:space="0" w:color="auto"/>
                <w:right w:val="none" w:sz="0" w:space="0" w:color="auto"/>
              </w:divBdr>
              <w:divsChild>
                <w:div w:id="724835530">
                  <w:marLeft w:val="0"/>
                  <w:marRight w:val="0"/>
                  <w:marTop w:val="0"/>
                  <w:marBottom w:val="0"/>
                  <w:divBdr>
                    <w:top w:val="none" w:sz="0" w:space="0" w:color="auto"/>
                    <w:left w:val="none" w:sz="0" w:space="0" w:color="auto"/>
                    <w:bottom w:val="none" w:sz="0" w:space="0" w:color="auto"/>
                    <w:right w:val="none" w:sz="0" w:space="0" w:color="auto"/>
                  </w:divBdr>
                  <w:divsChild>
                    <w:div w:id="16926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25398">
      <w:bodyDiv w:val="1"/>
      <w:marLeft w:val="0"/>
      <w:marRight w:val="0"/>
      <w:marTop w:val="0"/>
      <w:marBottom w:val="0"/>
      <w:divBdr>
        <w:top w:val="none" w:sz="0" w:space="0" w:color="auto"/>
        <w:left w:val="none" w:sz="0" w:space="0" w:color="auto"/>
        <w:bottom w:val="none" w:sz="0" w:space="0" w:color="auto"/>
        <w:right w:val="none" w:sz="0" w:space="0" w:color="auto"/>
      </w:divBdr>
    </w:div>
    <w:div w:id="213493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i.org/10.1080/1369118X.2018.14286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183C5-35BD-4557-A1C0-7D482D05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Vita Sabatini</cp:lastModifiedBy>
  <cp:revision>3</cp:revision>
  <dcterms:created xsi:type="dcterms:W3CDTF">2020-12-02T01:58:00Z</dcterms:created>
  <dcterms:modified xsi:type="dcterms:W3CDTF">2020-12-10T20:22:00Z</dcterms:modified>
</cp:coreProperties>
</file>